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2A04" w14:textId="77777777" w:rsidR="00FA5E9E" w:rsidRDefault="00FA5E9E" w:rsidP="00D622DB"/>
    <w:p w14:paraId="14E4DC42" w14:textId="77777777" w:rsidR="00D622DB" w:rsidRPr="004312B8" w:rsidRDefault="00D622DB" w:rsidP="00D622DB">
      <w:pPr>
        <w:rPr>
          <w:rFonts w:ascii="Century Gothic" w:hAnsi="Century Gothic"/>
        </w:rPr>
      </w:pPr>
    </w:p>
    <w:p w14:paraId="2AE28CBF" w14:textId="77777777" w:rsidR="00D622DB" w:rsidRPr="004312B8" w:rsidRDefault="00D622DB" w:rsidP="00D622DB">
      <w:pPr>
        <w:rPr>
          <w:rFonts w:ascii="Century Gothic" w:hAnsi="Century Gothic"/>
        </w:rPr>
      </w:pPr>
    </w:p>
    <w:p w14:paraId="503E3AC7" w14:textId="77777777" w:rsidR="00D622DB" w:rsidRPr="004312B8" w:rsidRDefault="00D622DB" w:rsidP="00D622DB">
      <w:pPr>
        <w:rPr>
          <w:rFonts w:ascii="Century Gothic" w:hAnsi="Century Gothic"/>
        </w:rPr>
      </w:pPr>
    </w:p>
    <w:p w14:paraId="7E61B164" w14:textId="77777777" w:rsidR="00D622DB" w:rsidRPr="004312B8" w:rsidRDefault="00D622DB" w:rsidP="00D622DB">
      <w:pPr>
        <w:rPr>
          <w:rFonts w:ascii="Century Gothic" w:hAnsi="Century Gothic"/>
        </w:rPr>
      </w:pPr>
    </w:p>
    <w:p w14:paraId="04DF4603" w14:textId="77777777" w:rsidR="00D622DB" w:rsidRPr="004312B8" w:rsidRDefault="00D622DB" w:rsidP="00D622DB">
      <w:pPr>
        <w:rPr>
          <w:rFonts w:ascii="Century Gothic" w:hAnsi="Century Gothic"/>
        </w:rPr>
      </w:pPr>
    </w:p>
    <w:p w14:paraId="048D9E29" w14:textId="77777777" w:rsidR="00D622DB" w:rsidRPr="004312B8" w:rsidRDefault="00D622DB" w:rsidP="00D622DB">
      <w:pPr>
        <w:rPr>
          <w:rFonts w:ascii="Century Gothic" w:hAnsi="Century Gothic"/>
        </w:rPr>
      </w:pPr>
    </w:p>
    <w:p w14:paraId="47F93FCB" w14:textId="77777777" w:rsidR="00D622DB" w:rsidRPr="004312B8" w:rsidRDefault="002A6CAD" w:rsidP="00D622DB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2A686" wp14:editId="193B570C">
            <wp:simplePos x="0" y="0"/>
            <wp:positionH relativeFrom="column">
              <wp:posOffset>1843405</wp:posOffset>
            </wp:positionH>
            <wp:positionV relativeFrom="paragraph">
              <wp:posOffset>31750</wp:posOffset>
            </wp:positionV>
            <wp:extent cx="1943100" cy="1943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131BA" w14:textId="77777777" w:rsidR="00D622DB" w:rsidRPr="004312B8" w:rsidRDefault="00D622DB" w:rsidP="00D622DB">
      <w:pPr>
        <w:rPr>
          <w:rFonts w:ascii="Century Gothic" w:hAnsi="Century Gothic"/>
        </w:rPr>
      </w:pPr>
    </w:p>
    <w:p w14:paraId="6EAD8462" w14:textId="77777777" w:rsidR="00D622DB" w:rsidRDefault="00D622DB" w:rsidP="00D622DB">
      <w:pPr>
        <w:rPr>
          <w:rFonts w:ascii="Century Gothic" w:hAnsi="Century Gothic"/>
          <w:b/>
        </w:rPr>
      </w:pPr>
    </w:p>
    <w:p w14:paraId="11BC9F50" w14:textId="77777777" w:rsidR="00417EDB" w:rsidRDefault="00417EDB" w:rsidP="00D622DB">
      <w:pPr>
        <w:rPr>
          <w:rFonts w:ascii="Century Gothic" w:hAnsi="Century Gothic"/>
          <w:b/>
        </w:rPr>
      </w:pPr>
    </w:p>
    <w:p w14:paraId="0C386F59" w14:textId="77777777" w:rsidR="00417EDB" w:rsidRDefault="00417EDB" w:rsidP="00D622DB">
      <w:pPr>
        <w:rPr>
          <w:rFonts w:ascii="Century Gothic" w:hAnsi="Century Gothic"/>
          <w:b/>
        </w:rPr>
      </w:pPr>
    </w:p>
    <w:p w14:paraId="6C144E0B" w14:textId="77777777" w:rsidR="00417EDB" w:rsidRDefault="00417EDB" w:rsidP="00D622DB">
      <w:pPr>
        <w:rPr>
          <w:rFonts w:ascii="Century Gothic" w:hAnsi="Century Gothic"/>
          <w:b/>
        </w:rPr>
      </w:pPr>
    </w:p>
    <w:p w14:paraId="6202FC59" w14:textId="77777777" w:rsidR="00417EDB" w:rsidRDefault="00417EDB" w:rsidP="00D622DB">
      <w:pPr>
        <w:rPr>
          <w:rFonts w:ascii="Century Gothic" w:hAnsi="Century Gothic"/>
          <w:b/>
        </w:rPr>
      </w:pPr>
    </w:p>
    <w:p w14:paraId="2797C204" w14:textId="77777777" w:rsidR="00417EDB" w:rsidRDefault="00417EDB" w:rsidP="00D622DB">
      <w:pPr>
        <w:rPr>
          <w:rFonts w:ascii="Century Gothic" w:hAnsi="Century Gothic"/>
          <w:b/>
        </w:rPr>
      </w:pPr>
    </w:p>
    <w:p w14:paraId="03FAEB93" w14:textId="77777777" w:rsidR="00417EDB" w:rsidRDefault="00417EDB" w:rsidP="00D622DB">
      <w:pPr>
        <w:rPr>
          <w:rFonts w:ascii="Century Gothic" w:hAnsi="Century Gothic"/>
          <w:b/>
        </w:rPr>
      </w:pPr>
    </w:p>
    <w:p w14:paraId="4C2C0AE4" w14:textId="77777777" w:rsidR="00417EDB" w:rsidRPr="004312B8" w:rsidRDefault="00417EDB" w:rsidP="00D622DB">
      <w:pPr>
        <w:rPr>
          <w:rFonts w:ascii="Century Gothic" w:hAnsi="Century Gothic"/>
          <w:b/>
        </w:rPr>
      </w:pPr>
    </w:p>
    <w:p w14:paraId="50AAB846" w14:textId="77777777" w:rsidR="00D622DB" w:rsidRDefault="00DB35AD" w:rsidP="00D622D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</w:p>
    <w:p w14:paraId="406C4167" w14:textId="77777777" w:rsidR="002A6CAD" w:rsidRPr="004312B8" w:rsidRDefault="002A6CAD" w:rsidP="00D622DB">
      <w:pPr>
        <w:rPr>
          <w:rFonts w:ascii="Century Gothic" w:hAnsi="Century Gothic"/>
        </w:rPr>
      </w:pPr>
    </w:p>
    <w:p w14:paraId="1415DC72" w14:textId="77777777" w:rsidR="00D622DB" w:rsidRPr="00417EDB" w:rsidRDefault="00D622DB" w:rsidP="00D622DB">
      <w:pPr>
        <w:jc w:val="center"/>
        <w:rPr>
          <w:rFonts w:ascii="Century Gothic" w:hAnsi="Century Gothic"/>
          <w:b/>
          <w:color w:val="2E74B5" w:themeColor="accent1" w:themeShade="BF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5B6B498" w14:textId="77777777" w:rsidR="00D622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Informacije o turističkom prometu</w:t>
      </w:r>
    </w:p>
    <w:p w14:paraId="6D3AE104" w14:textId="2C460AA2" w:rsidR="00C44B66" w:rsidRPr="00417EDB" w:rsidRDefault="00C44B66" w:rsidP="00D622DB">
      <w:pPr>
        <w:jc w:val="center"/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CB0E5B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454C9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/20</w:t>
      </w:r>
      <w:r w:rsidR="008454C9">
        <w:rPr>
          <w:rFonts w:ascii="Century Gothic" w:hAnsi="Century Gothic"/>
          <w:b/>
          <w:color w:val="2E74B5" w:themeColor="accent1" w:themeShade="BF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14:paraId="06D74055" w14:textId="77777777" w:rsidR="00280DBC" w:rsidRPr="00356F0D" w:rsidRDefault="00280DBC" w:rsidP="00D622DB">
      <w:pPr>
        <w:jc w:val="center"/>
        <w:rPr>
          <w:rFonts w:ascii="Century Gothic" w:hAnsi="Century Gothic"/>
          <w:b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CBA352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453B3C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FE3A5A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14219" w14:textId="77777777"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2183CA" w14:textId="77777777"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C99388" w14:textId="77777777" w:rsidR="00C44B66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2D9642" w14:textId="77777777" w:rsidR="00C44B66" w:rsidRPr="00356F0D" w:rsidRDefault="00C44B66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EA3140" w14:textId="48A55400" w:rsidR="00D622DB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945AEC" w14:textId="77777777" w:rsidR="00CB0E5B" w:rsidRPr="00356F0D" w:rsidRDefault="00CB0E5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A7044D5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0D7E64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68218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A99C4D" w14:textId="77777777" w:rsidR="00D622DB" w:rsidRPr="00356F0D" w:rsidRDefault="00D622DB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DDF7AF" w14:textId="663FEEF1" w:rsidR="00D622DB" w:rsidRPr="00356F0D" w:rsidRDefault="00C44B66" w:rsidP="00D622DB">
      <w:pPr>
        <w:jc w:val="center"/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Siječanj 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E24F7C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8454C9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3089E" w:rsidRPr="00356F0D">
        <w:rPr>
          <w:rFonts w:ascii="Century Gothic" w:hAnsi="Century Gothic"/>
          <w:outline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373D9E2" w14:textId="77777777" w:rsidR="002F741D" w:rsidRPr="00356F0D" w:rsidRDefault="002F741D" w:rsidP="00D622DB">
      <w:pPr>
        <w:jc w:val="center"/>
        <w:rPr>
          <w:rFonts w:ascii="Century Gothic" w:hAnsi="Century Gothic"/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7A5665" w14:textId="77777777"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06512960" w14:textId="77777777" w:rsidR="002F741D" w:rsidRDefault="002F741D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72AD02B1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724D30B1" w14:textId="77777777" w:rsidR="00280DBC" w:rsidRDefault="00551537" w:rsidP="00D622DB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</w:t>
      </w:r>
    </w:p>
    <w:p w14:paraId="1651E1D3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5E51284D" w14:textId="77777777" w:rsidR="00280DBC" w:rsidRDefault="00280DBC" w:rsidP="00D622DB">
      <w:pPr>
        <w:jc w:val="center"/>
        <w:rPr>
          <w:rFonts w:ascii="Century Gothic" w:hAnsi="Century Gothic"/>
          <w:b/>
          <w:sz w:val="32"/>
          <w:szCs w:val="32"/>
        </w:rPr>
      </w:pPr>
    </w:p>
    <w:p w14:paraId="6A840B34" w14:textId="77777777" w:rsidR="002F741D" w:rsidRPr="000B6043" w:rsidRDefault="00596584" w:rsidP="00596584">
      <w:pPr>
        <w:pStyle w:val="Naglaencitat"/>
        <w:rPr>
          <w:b/>
          <w:sz w:val="32"/>
          <w:szCs w:val="32"/>
        </w:rPr>
      </w:pPr>
      <w:r w:rsidRPr="000B6043">
        <w:rPr>
          <w:b/>
          <w:sz w:val="32"/>
          <w:szCs w:val="32"/>
        </w:rPr>
        <w:t>STATISTIČKO IZVJEŠĆE</w:t>
      </w:r>
    </w:p>
    <w:p w14:paraId="66AEC60B" w14:textId="77777777" w:rsidR="00596584" w:rsidRPr="00596584" w:rsidRDefault="00596584" w:rsidP="00596584">
      <w:pPr>
        <w:pStyle w:val="Default"/>
        <w:rPr>
          <w:color w:val="2E74B5" w:themeColor="accent1" w:themeShade="BF"/>
        </w:rPr>
      </w:pPr>
    </w:p>
    <w:p w14:paraId="59F0935F" w14:textId="4DC223A3" w:rsidR="00596584" w:rsidRPr="00DB35AD" w:rsidRDefault="00596584" w:rsidP="00596584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vrsti smještajnih objekata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-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20</w:t>
      </w:r>
      <w:r w:rsidR="009848D5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</w:t>
      </w:r>
      <w:r w:rsidR="008454C9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1</w:t>
      </w:r>
      <w:r w:rsidRPr="00DB35AD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tbl>
      <w:tblPr>
        <w:tblW w:w="5747" w:type="dxa"/>
        <w:tblInd w:w="-1417" w:type="dxa"/>
        <w:tblLook w:val="04A0" w:firstRow="1" w:lastRow="0" w:firstColumn="1" w:lastColumn="0" w:noHBand="0" w:noVBand="1"/>
      </w:tblPr>
      <w:tblGrid>
        <w:gridCol w:w="5747"/>
      </w:tblGrid>
      <w:tr w:rsidR="00596584" w:rsidRPr="00DB35AD" w14:paraId="4BF40FC0" w14:textId="77777777" w:rsidTr="008454C9">
        <w:trPr>
          <w:trHeight w:val="186"/>
        </w:trPr>
        <w:tc>
          <w:tcPr>
            <w:tcW w:w="5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B9E" w14:textId="77777777" w:rsidR="003161B6" w:rsidRDefault="003161B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6529031E" w14:textId="77777777" w:rsidR="00596584" w:rsidRDefault="00596584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Tablica1:</w:t>
            </w:r>
            <w:r w:rsid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Turistički promet 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po </w:t>
            </w:r>
            <w:proofErr w:type="spellStart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vrstI</w:t>
            </w:r>
            <w:proofErr w:type="spellEnd"/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 xml:space="preserve"> o</w:t>
            </w:r>
            <w:r w:rsidR="00DB35AD" w:rsidRPr="00DB35AD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bjek</w:t>
            </w:r>
            <w:r w:rsidR="003161B6"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  <w:t>ta</w:t>
            </w:r>
          </w:p>
          <w:p w14:paraId="71698683" w14:textId="77777777"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785A5004" w14:textId="77777777" w:rsidR="00AC29F6" w:rsidRDefault="00AC29F6" w:rsidP="003161B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2E74B5" w:themeColor="accent1" w:themeShade="BF"/>
                <w:sz w:val="20"/>
                <w:szCs w:val="20"/>
              </w:rPr>
            </w:pPr>
          </w:p>
          <w:p w14:paraId="3BBC902E" w14:textId="77777777" w:rsidR="00BC0A73" w:rsidRPr="00DB35AD" w:rsidRDefault="00BC0A73" w:rsidP="003161B6">
            <w:pPr>
              <w:jc w:val="center"/>
              <w:rPr>
                <w:rFonts w:ascii="Arial Black" w:hAnsi="Arial Black"/>
                <w:b/>
                <w:bCs/>
                <w:i/>
                <w:color w:val="E26B0A"/>
                <w:sz w:val="28"/>
                <w:szCs w:val="28"/>
              </w:rPr>
            </w:pPr>
          </w:p>
        </w:tc>
      </w:tr>
    </w:tbl>
    <w:p w14:paraId="47223F9E" w14:textId="32DAA3B5" w:rsidR="007E7094" w:rsidRDefault="007E7094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tbl>
      <w:tblPr>
        <w:tblW w:w="10871" w:type="dxa"/>
        <w:tblInd w:w="-572" w:type="dxa"/>
        <w:tblLook w:val="04A0" w:firstRow="1" w:lastRow="0" w:firstColumn="1" w:lastColumn="0" w:noHBand="0" w:noVBand="1"/>
      </w:tblPr>
      <w:tblGrid>
        <w:gridCol w:w="4111"/>
        <w:gridCol w:w="1234"/>
        <w:gridCol w:w="1196"/>
        <w:gridCol w:w="1010"/>
        <w:gridCol w:w="1196"/>
        <w:gridCol w:w="1062"/>
        <w:gridCol w:w="1062"/>
      </w:tblGrid>
      <w:tr w:rsidR="008454C9" w:rsidRPr="008454C9" w14:paraId="1153B712" w14:textId="77777777" w:rsidTr="00307AA5">
        <w:trPr>
          <w:trHeight w:val="173"/>
        </w:trPr>
        <w:tc>
          <w:tcPr>
            <w:tcW w:w="4111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1E56EEF0" w14:textId="77777777" w:rsidR="008454C9" w:rsidRPr="008454C9" w:rsidRDefault="008454C9" w:rsidP="008454C9">
            <w:pPr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8192F81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01.01.2021.-31.12.2021.</w:t>
            </w:r>
          </w:p>
        </w:tc>
        <w:tc>
          <w:tcPr>
            <w:tcW w:w="2206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94011D3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8454C9">
              <w:rPr>
                <w:rFonts w:ascii="Calibri" w:hAnsi="Calibri" w:cs="Calibri"/>
                <w:b/>
                <w:bCs/>
                <w:color w:val="7F7F7F"/>
              </w:rPr>
              <w:t>01.01.2020.-31.12.2020.</w:t>
            </w:r>
          </w:p>
        </w:tc>
        <w:tc>
          <w:tcPr>
            <w:tcW w:w="2124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9F89AB4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Godišnji indeks</w:t>
            </w:r>
          </w:p>
        </w:tc>
      </w:tr>
      <w:tr w:rsidR="00307AA5" w:rsidRPr="008454C9" w14:paraId="7A82022A" w14:textId="77777777" w:rsidTr="00307AA5">
        <w:trPr>
          <w:trHeight w:val="173"/>
        </w:trPr>
        <w:tc>
          <w:tcPr>
            <w:tcW w:w="4111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53A2F28C" w14:textId="77777777" w:rsidR="008454C9" w:rsidRPr="008454C9" w:rsidRDefault="008454C9" w:rsidP="008454C9">
            <w:pPr>
              <w:rPr>
                <w:rFonts w:ascii="Calibri" w:hAnsi="Calibri" w:cs="Calibri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2D3FC9DD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032FF76F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Noćenja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62341020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8454C9">
              <w:rPr>
                <w:rFonts w:ascii="Calibri" w:hAnsi="Calibri" w:cs="Calibri"/>
                <w:b/>
                <w:bCs/>
                <w:color w:val="7F7F7F"/>
              </w:rPr>
              <w:t>Dolasci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025B7B51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8454C9">
              <w:rPr>
                <w:rFonts w:ascii="Calibri" w:hAnsi="Calibri" w:cs="Calibri"/>
                <w:b/>
                <w:bCs/>
                <w:color w:val="7F7F7F"/>
              </w:rPr>
              <w:t>Noćenja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0A9674D2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490C5E14" w14:textId="77777777" w:rsidR="008454C9" w:rsidRPr="008454C9" w:rsidRDefault="008454C9" w:rsidP="008454C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Noćenja</w:t>
            </w:r>
          </w:p>
        </w:tc>
      </w:tr>
      <w:tr w:rsidR="00307AA5" w:rsidRPr="008454C9" w14:paraId="7E73BB6F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899FF2A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Hoteli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6DEDC79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176.348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EBD1593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720.147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6F19FEA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71.426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E90A2FB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289.660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DC96242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246,90%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1CB471B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248,62%</w:t>
            </w:r>
          </w:p>
        </w:tc>
      </w:tr>
      <w:tr w:rsidR="00307AA5" w:rsidRPr="008454C9" w14:paraId="318C6A1D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8EA8F5B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Kampovi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98A5D9E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124.061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C363BC8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811.541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7A04923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60.641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B22A9B1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429.137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BD4CD61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204,58%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DD7F987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189,11%</w:t>
            </w:r>
          </w:p>
        </w:tc>
      </w:tr>
      <w:tr w:rsidR="00307AA5" w:rsidRPr="008454C9" w14:paraId="6B524C7B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2CFAB9B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Objekti na OPG-u (seljačkom domaćinstvu)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507335F" w14:textId="77777777" w:rsidR="008454C9" w:rsidRDefault="008454C9" w:rsidP="008454C9">
            <w:pPr>
              <w:jc w:val="right"/>
              <w:rPr>
                <w:rFonts w:ascii="Calibri" w:hAnsi="Calibri" w:cs="Calibri"/>
              </w:rPr>
            </w:pPr>
          </w:p>
          <w:p w14:paraId="23F747AE" w14:textId="16206D20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1.591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085A71D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5.924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268F9A0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788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03D2CCB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4.503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5EC2E09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201,90%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0AEC1EC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131,56%</w:t>
            </w:r>
          </w:p>
        </w:tc>
      </w:tr>
      <w:tr w:rsidR="00307AA5" w:rsidRPr="008454C9" w14:paraId="4A8DDB38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F4CEB0A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Objekti u domaćinstvu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4E1CF40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362.969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5D8A450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2.642.432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32477A4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245.611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90E9BAD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1.884.783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0773887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147,78%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8C07679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140,20%</w:t>
            </w:r>
          </w:p>
        </w:tc>
      </w:tr>
      <w:tr w:rsidR="00307AA5" w:rsidRPr="008454C9" w14:paraId="426E8C49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F1FD653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Ostali ugostiteljski objekti za smještaj (Druge vrste - skupina kampovi)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2A74574" w14:textId="77777777" w:rsidR="008454C9" w:rsidRDefault="008454C9" w:rsidP="008454C9">
            <w:pPr>
              <w:jc w:val="right"/>
              <w:rPr>
                <w:rFonts w:ascii="Calibri" w:hAnsi="Calibri" w:cs="Calibri"/>
              </w:rPr>
            </w:pPr>
          </w:p>
          <w:p w14:paraId="436E05F8" w14:textId="07D0DC7C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41.651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EE7D06F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224.662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E342E41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24.414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2DF5E3D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148.664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E2F0FD9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170,60%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E7FA876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151,12%</w:t>
            </w:r>
          </w:p>
        </w:tc>
      </w:tr>
      <w:tr w:rsidR="00307AA5" w:rsidRPr="008454C9" w14:paraId="5AA1849E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608A90F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Ostalo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54A6470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1FBFB2D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2.179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ADFA2B2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132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0716D18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1.847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A7307D1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118,18%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9FF8516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117,98%</w:t>
            </w:r>
          </w:p>
        </w:tc>
      </w:tr>
      <w:tr w:rsidR="00307AA5" w:rsidRPr="008454C9" w14:paraId="0C2917C4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1698355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Restorani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7E016DD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71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ADA04F5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191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8FD2D28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69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3BA1EA3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196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6363B84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102,90%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9960ACB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97,45%</w:t>
            </w:r>
          </w:p>
        </w:tc>
      </w:tr>
      <w:tr w:rsidR="00307AA5" w:rsidRPr="008454C9" w14:paraId="7A0BED7F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F818429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Ukupno komercijalni smještaj: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6B7D716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706.847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5C337B1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4.407.076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D3C4CD3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8454C9">
              <w:rPr>
                <w:rFonts w:ascii="Calibri" w:hAnsi="Calibri" w:cs="Calibri"/>
                <w:b/>
                <w:bCs/>
                <w:color w:val="7F7F7F"/>
              </w:rPr>
              <w:t>403.081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0D5C3E74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8454C9">
              <w:rPr>
                <w:rFonts w:ascii="Calibri" w:hAnsi="Calibri" w:cs="Calibri"/>
                <w:b/>
                <w:bCs/>
                <w:color w:val="7F7F7F"/>
              </w:rPr>
              <w:t>2.758.790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6D4AF19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175,36%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84E2C72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159,75%</w:t>
            </w:r>
          </w:p>
        </w:tc>
      </w:tr>
      <w:tr w:rsidR="00307AA5" w:rsidRPr="008454C9" w14:paraId="41875E1C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6A32A68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Nekomercijalni smještaj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C9EA8A1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33.372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DB801F4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838.861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72FC2D5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28.494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E52535F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901.734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755563A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117,12%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FD9CC81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93,03%</w:t>
            </w:r>
          </w:p>
        </w:tc>
      </w:tr>
      <w:tr w:rsidR="00307AA5" w:rsidRPr="008454C9" w14:paraId="391B8376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1322B92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Nautika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CBE39E1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99.537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8BF75A3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669.465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410A7D5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54.075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E038A5F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color w:val="7F7F7F"/>
              </w:rPr>
            </w:pPr>
            <w:r w:rsidRPr="008454C9">
              <w:rPr>
                <w:rFonts w:ascii="Calibri" w:hAnsi="Calibri" w:cs="Calibri"/>
                <w:color w:val="7F7F7F"/>
              </w:rPr>
              <w:t>373.906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8E018E2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184,07%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8275CB0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</w:rPr>
            </w:pPr>
            <w:r w:rsidRPr="008454C9">
              <w:rPr>
                <w:rFonts w:ascii="Calibri" w:hAnsi="Calibri" w:cs="Calibri"/>
              </w:rPr>
              <w:t>179,05%</w:t>
            </w:r>
          </w:p>
        </w:tc>
      </w:tr>
      <w:tr w:rsidR="00307AA5" w:rsidRPr="008454C9" w14:paraId="19B01215" w14:textId="77777777" w:rsidTr="00307AA5">
        <w:trPr>
          <w:trHeight w:val="173"/>
        </w:trPr>
        <w:tc>
          <w:tcPr>
            <w:tcW w:w="4111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6F8F1032" w14:textId="77777777" w:rsidR="008454C9" w:rsidRPr="008454C9" w:rsidRDefault="008454C9" w:rsidP="008454C9">
            <w:pPr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5E6D2F32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839.756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DB873B2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5.915.402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83B4808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8454C9">
              <w:rPr>
                <w:rFonts w:ascii="Calibri" w:hAnsi="Calibri" w:cs="Calibri"/>
                <w:b/>
                <w:bCs/>
                <w:color w:val="7F7F7F"/>
              </w:rPr>
              <w:t>485.650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54748FA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8454C9">
              <w:rPr>
                <w:rFonts w:ascii="Calibri" w:hAnsi="Calibri" w:cs="Calibri"/>
                <w:b/>
                <w:bCs/>
                <w:color w:val="7F7F7F"/>
              </w:rPr>
              <w:t>4.034.430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3AC77224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172,91%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072A852" w14:textId="77777777" w:rsidR="008454C9" w:rsidRPr="008454C9" w:rsidRDefault="008454C9" w:rsidP="008454C9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8454C9">
              <w:rPr>
                <w:rFonts w:ascii="Calibri" w:hAnsi="Calibri" w:cs="Calibri"/>
                <w:b/>
                <w:bCs/>
              </w:rPr>
              <w:t>146,62%</w:t>
            </w:r>
          </w:p>
        </w:tc>
      </w:tr>
    </w:tbl>
    <w:p w14:paraId="08C72462" w14:textId="5ACB7DF8" w:rsidR="008454C9" w:rsidRDefault="008454C9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4BAC800A" w14:textId="33B8DD85" w:rsidR="008454C9" w:rsidRDefault="008454C9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561701A5" w14:textId="4BA6F7F9" w:rsidR="008454C9" w:rsidRDefault="008454C9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5F83EDE9" w14:textId="634AF768" w:rsidR="008454C9" w:rsidRDefault="008454C9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4E0242F9" w14:textId="77777777" w:rsidR="008454C9" w:rsidRDefault="008454C9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7EF5B7B" w14:textId="77777777" w:rsidR="00C4377A" w:rsidRDefault="00AC29F6" w:rsidP="00AC29F6">
      <w:pPr>
        <w:jc w:val="center"/>
        <w:rPr>
          <w:rFonts w:ascii="Century Gothic" w:hAnsi="Century Gothic"/>
          <w:color w:val="2E74B5" w:themeColor="accent1" w:themeShade="BF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4871E49" wp14:editId="7198D705">
            <wp:extent cx="5543550" cy="3514725"/>
            <wp:effectExtent l="0" t="0" r="0" b="9525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F8253A62-E214-4098-AE35-86803B2645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953150" w14:textId="77777777" w:rsidR="00C4377A" w:rsidRDefault="00C4377A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6A91834E" w14:textId="77777777" w:rsidR="00C41692" w:rsidRDefault="00C41692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6B673ED8" w14:textId="77777777"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72E2D9CE" w14:textId="77777777" w:rsidR="00EA2EB7" w:rsidRDefault="00EA2EB7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3CA9F10" w14:textId="77777777" w:rsidR="005A4048" w:rsidRDefault="005A4048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0E211C0" w14:textId="6D9C2009" w:rsidR="009F7079" w:rsidRDefault="009F7079" w:rsidP="009F7079">
      <w:pPr>
        <w:pStyle w:val="Default"/>
        <w:numPr>
          <w:ilvl w:val="0"/>
          <w:numId w:val="13"/>
        </w:numPr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Turistički promet po turističkim zajednicama na području Šibensko – kninske županije 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za razdoblje siječanj – </w:t>
      </w:r>
      <w:r w:rsidR="00C44B66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prosinac</w:t>
      </w:r>
      <w:r w:rsidR="002A4DBA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 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20</w:t>
      </w:r>
      <w:r w:rsidR="00466E27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2</w:t>
      </w:r>
      <w:r w:rsidR="00307AA5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>1</w:t>
      </w:r>
      <w:r w:rsidRPr="00346094"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  <w:t xml:space="preserve">. </w:t>
      </w:r>
    </w:p>
    <w:p w14:paraId="1985F0EF" w14:textId="4278B772" w:rsidR="00307AA5" w:rsidRDefault="00307AA5" w:rsidP="00307AA5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2C227A37" w14:textId="41B755BD" w:rsidR="00307AA5" w:rsidRDefault="00307AA5" w:rsidP="00307AA5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1090" w:type="dxa"/>
        <w:tblInd w:w="-856" w:type="dxa"/>
        <w:tblLook w:val="04A0" w:firstRow="1" w:lastRow="0" w:firstColumn="1" w:lastColumn="0" w:noHBand="0" w:noVBand="1"/>
      </w:tblPr>
      <w:tblGrid>
        <w:gridCol w:w="3828"/>
        <w:gridCol w:w="1010"/>
        <w:gridCol w:w="1350"/>
        <w:gridCol w:w="1101"/>
        <w:gridCol w:w="1350"/>
        <w:gridCol w:w="1225"/>
        <w:gridCol w:w="1226"/>
      </w:tblGrid>
      <w:tr w:rsidR="00307AA5" w:rsidRPr="00307AA5" w14:paraId="654BCECC" w14:textId="77777777" w:rsidTr="00307AA5">
        <w:trPr>
          <w:trHeight w:val="292"/>
        </w:trPr>
        <w:tc>
          <w:tcPr>
            <w:tcW w:w="3828" w:type="dxa"/>
            <w:vMerge w:val="restart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vAlign w:val="bottom"/>
            <w:hideMark/>
          </w:tcPr>
          <w:p w14:paraId="4B134E31" w14:textId="77777777" w:rsidR="00307AA5" w:rsidRPr="00307AA5" w:rsidRDefault="00307AA5" w:rsidP="00307AA5">
            <w:pPr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 </w:t>
            </w:r>
          </w:p>
        </w:tc>
        <w:tc>
          <w:tcPr>
            <w:tcW w:w="2360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EAB925B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01.01.2021.-31.12.2021.</w:t>
            </w:r>
          </w:p>
        </w:tc>
        <w:tc>
          <w:tcPr>
            <w:tcW w:w="2451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71A7DC1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307AA5">
              <w:rPr>
                <w:rFonts w:ascii="Calibri" w:hAnsi="Calibri" w:cs="Calibri"/>
                <w:b/>
                <w:bCs/>
                <w:color w:val="7F7F7F"/>
              </w:rPr>
              <w:t>01.01.2020.-31.12.2020.</w:t>
            </w:r>
          </w:p>
        </w:tc>
        <w:tc>
          <w:tcPr>
            <w:tcW w:w="2451" w:type="dxa"/>
            <w:gridSpan w:val="2"/>
            <w:tcBorders>
              <w:top w:val="single" w:sz="4" w:space="0" w:color="B7B7B7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E574701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Godišnji indeks</w:t>
            </w:r>
          </w:p>
        </w:tc>
      </w:tr>
      <w:tr w:rsidR="00307AA5" w:rsidRPr="00307AA5" w14:paraId="75355A34" w14:textId="77777777" w:rsidTr="00307AA5">
        <w:trPr>
          <w:trHeight w:val="292"/>
        </w:trPr>
        <w:tc>
          <w:tcPr>
            <w:tcW w:w="3828" w:type="dxa"/>
            <w:vMerge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  <w:hideMark/>
          </w:tcPr>
          <w:p w14:paraId="2849555B" w14:textId="77777777" w:rsidR="00307AA5" w:rsidRPr="00307AA5" w:rsidRDefault="00307AA5" w:rsidP="00307AA5">
            <w:pPr>
              <w:rPr>
                <w:rFonts w:ascii="Calibri" w:hAnsi="Calibri" w:cs="Calibri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205C5775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1193DD5A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Noćenja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709F81DC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307AA5">
              <w:rPr>
                <w:rFonts w:ascii="Calibri" w:hAnsi="Calibri" w:cs="Calibri"/>
                <w:b/>
                <w:bCs/>
                <w:color w:val="7F7F7F"/>
              </w:rPr>
              <w:t>Dolasci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center"/>
            <w:hideMark/>
          </w:tcPr>
          <w:p w14:paraId="3245CFA8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  <w:color w:val="7F7F7F"/>
              </w:rPr>
            </w:pPr>
            <w:r w:rsidRPr="00307AA5">
              <w:rPr>
                <w:rFonts w:ascii="Calibri" w:hAnsi="Calibri" w:cs="Calibri"/>
                <w:b/>
                <w:bCs/>
                <w:color w:val="7F7F7F"/>
              </w:rPr>
              <w:t>Noćenja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3B3C27E3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Dolasci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center"/>
            <w:hideMark/>
          </w:tcPr>
          <w:p w14:paraId="0DD310BA" w14:textId="77777777" w:rsidR="00307AA5" w:rsidRPr="00307AA5" w:rsidRDefault="00307AA5" w:rsidP="00307AA5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Noćenja</w:t>
            </w:r>
          </w:p>
        </w:tc>
      </w:tr>
      <w:tr w:rsidR="00307AA5" w:rsidRPr="00307AA5" w14:paraId="16FB3F44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AD2644B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307AA5">
              <w:rPr>
                <w:rFonts w:ascii="Calibri" w:hAnsi="Calibri" w:cs="Calibri"/>
                <w:b/>
                <w:bCs/>
              </w:rPr>
              <w:t>Betina</w:t>
            </w:r>
            <w:proofErr w:type="spellEnd"/>
            <w:r w:rsidRPr="00307AA5">
              <w:rPr>
                <w:rFonts w:ascii="Calibri" w:hAnsi="Calibri" w:cs="Calibri"/>
                <w:b/>
                <w:bCs/>
              </w:rPr>
              <w:t>, TZM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45E5E33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29.099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35092E9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262.088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520B9F4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15.529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38AA029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169.647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82EF932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187,38%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D1AC4C3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154,49%</w:t>
            </w:r>
          </w:p>
        </w:tc>
      </w:tr>
      <w:tr w:rsidR="00307AA5" w:rsidRPr="00307AA5" w14:paraId="1E4629DF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FB6BFB0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Bilice, TZO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60E48E50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6.248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B3488E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51.128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975BB3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4.538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49C4C5A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41.650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B29FFF2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137,68%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54CCC4A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122,76%</w:t>
            </w:r>
          </w:p>
        </w:tc>
      </w:tr>
      <w:tr w:rsidR="00307AA5" w:rsidRPr="00307AA5" w14:paraId="71F2C35D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4C11493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Drniš, TZG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E3F069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4.896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2ECE217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24.876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4AA635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2.537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7B222B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15.150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7EBFC4A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192,98%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33A62F3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164,20%</w:t>
            </w:r>
          </w:p>
        </w:tc>
      </w:tr>
      <w:tr w:rsidR="00307AA5" w:rsidRPr="00307AA5" w14:paraId="01683730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093DC4BF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307AA5">
              <w:rPr>
                <w:rFonts w:ascii="Calibri" w:hAnsi="Calibri" w:cs="Calibri"/>
                <w:b/>
                <w:bCs/>
              </w:rPr>
              <w:t>Grebaštica</w:t>
            </w:r>
            <w:proofErr w:type="spellEnd"/>
            <w:r w:rsidRPr="00307AA5">
              <w:rPr>
                <w:rFonts w:ascii="Calibri" w:hAnsi="Calibri" w:cs="Calibri"/>
                <w:b/>
                <w:bCs/>
              </w:rPr>
              <w:t>, TZM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1B1847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15.475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233A219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144.383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1DE5CE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11.601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A9E7F6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112.649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D8B6852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133,39%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82DD59A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128,17%</w:t>
            </w:r>
          </w:p>
        </w:tc>
      </w:tr>
      <w:tr w:rsidR="00307AA5" w:rsidRPr="00307AA5" w14:paraId="06F287B7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619CF6F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Jezera, TZM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7378221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26.760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788292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234.441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D9FBAD3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16.007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3CEFB94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149.139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6964F2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167,18%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F687F90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157,20%</w:t>
            </w:r>
          </w:p>
        </w:tc>
      </w:tr>
      <w:tr w:rsidR="00307AA5" w:rsidRPr="00307AA5" w14:paraId="2C5953B9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14D2723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Knin, TZG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7E33146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1.885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1E60FD0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4.156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1F9800C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1.227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BB20BE6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4.432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87F519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153,63%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76A194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93,77%</w:t>
            </w:r>
          </w:p>
        </w:tc>
      </w:tr>
      <w:tr w:rsidR="00307AA5" w:rsidRPr="00307AA5" w14:paraId="75BB6F1F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79EDB53F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307AA5">
              <w:rPr>
                <w:rFonts w:ascii="Calibri" w:hAnsi="Calibri" w:cs="Calibri"/>
                <w:b/>
                <w:bCs/>
              </w:rPr>
              <w:t>Krapanj</w:t>
            </w:r>
            <w:proofErr w:type="spellEnd"/>
            <w:r w:rsidRPr="00307AA5">
              <w:rPr>
                <w:rFonts w:ascii="Calibri" w:hAnsi="Calibri" w:cs="Calibri"/>
                <w:b/>
                <w:bCs/>
              </w:rPr>
              <w:t>-Brodarica, TZM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2F4F384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20.171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D300372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163.249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600F09A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12.527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D1B02A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109.613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041E882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161,02%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B81984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148,93%</w:t>
            </w:r>
          </w:p>
        </w:tc>
      </w:tr>
      <w:tr w:rsidR="00307AA5" w:rsidRPr="00307AA5" w14:paraId="0E930FE9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2A2F338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Murter-Kornati, TZO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059880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53.483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5C468D4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418.614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0AF689A0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35.784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F0A754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314.126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F42CAF6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149,46%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0711DDB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133,26%</w:t>
            </w:r>
          </w:p>
        </w:tc>
      </w:tr>
      <w:tr w:rsidR="00307AA5" w:rsidRPr="00307AA5" w14:paraId="2E4FB74A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AD61DB6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Pirovac, TZO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33E99B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42.083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39B9AF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414.099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394798E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27.736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4207FA2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344.858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7157606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151,73%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D5DB0AE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120,08%</w:t>
            </w:r>
          </w:p>
        </w:tc>
      </w:tr>
      <w:tr w:rsidR="00307AA5" w:rsidRPr="00307AA5" w14:paraId="69B4A7C5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3374E93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Primošten, TZO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BCE3C30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92.915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1E7CEA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660.585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4EFFF56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55.201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6236D44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431.526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823C089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168,32%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E9E4B1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153,08%</w:t>
            </w:r>
          </w:p>
        </w:tc>
      </w:tr>
      <w:tr w:rsidR="00307AA5" w:rsidRPr="00307AA5" w14:paraId="4A05A2E5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29523A8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Rogoznica, TZO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3E85BDD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84.660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BD1E5A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728.225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E6543F7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57.384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DED28F4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558.687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E490AC3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147,53%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32E808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130,35%</w:t>
            </w:r>
          </w:p>
        </w:tc>
      </w:tr>
      <w:tr w:rsidR="00307AA5" w:rsidRPr="00307AA5" w14:paraId="1D99F2C1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5546FB97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Skradin, TZG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F2EA5E0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18.387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B9E49EE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57.619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2871B3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9.066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42BA1BC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26.979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48E88F33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202,81%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CCA7291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213,57%</w:t>
            </w:r>
          </w:p>
        </w:tc>
      </w:tr>
      <w:tr w:rsidR="00307AA5" w:rsidRPr="00307AA5" w14:paraId="018E472F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360293EE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Šibenik, TZG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BF1E5A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218.961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A05245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1.148.459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2501F89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103.546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6D67CE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629.936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D824AE4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211,46%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A7FBD4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182,31%</w:t>
            </w:r>
          </w:p>
        </w:tc>
      </w:tr>
      <w:tr w:rsidR="00307AA5" w:rsidRPr="00307AA5" w14:paraId="4F4D946E" w14:textId="77777777" w:rsidTr="00D03211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4A4D947D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Šibensko-kninska županija, TZŽ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1D466504" w14:textId="4C9004AA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2.163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09E151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14.730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3B9B9D2C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1.169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BE972F4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8.454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25EBEFE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185,03%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75F550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174,24%</w:t>
            </w:r>
          </w:p>
        </w:tc>
      </w:tr>
      <w:tr w:rsidR="00307AA5" w:rsidRPr="00307AA5" w14:paraId="2EEB752F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6E442436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Tisno, TZO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472E2D2B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31.982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187A6B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235.186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5C1350A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15.794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6C0A343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147.905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5E8307FC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202,49%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3D64A40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159,01%</w:t>
            </w:r>
          </w:p>
        </w:tc>
      </w:tr>
      <w:tr w:rsidR="00307AA5" w:rsidRPr="00307AA5" w14:paraId="658745CA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9FB5030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Tribunj, TZO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93FF92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22.814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6475F50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231.437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7B202E5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16.089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C9FAFBB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187.714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5255BD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141,80%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75414F2C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123,29%</w:t>
            </w:r>
          </w:p>
        </w:tc>
      </w:tr>
      <w:tr w:rsidR="00307AA5" w:rsidRPr="00307AA5" w14:paraId="5AD1709C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118D4B80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Vodice, TZG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74961D4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162.595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3DEF0ED4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1.078.466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718BE99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96.559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2B54B66B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738.938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BE7019B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168,39%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835963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145,95%</w:t>
            </w:r>
          </w:p>
        </w:tc>
      </w:tr>
      <w:tr w:rsidR="00307AA5" w:rsidRPr="00307AA5" w14:paraId="71414F27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F0F0F0"/>
            <w:noWrap/>
            <w:hideMark/>
          </w:tcPr>
          <w:p w14:paraId="2FD9F155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Zlarin, TZM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hideMark/>
          </w:tcPr>
          <w:p w14:paraId="570C097E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5.179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03D508C9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43.661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EBEAA9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3.356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F6FFF0"/>
            <w:noWrap/>
            <w:vAlign w:val="bottom"/>
            <w:hideMark/>
          </w:tcPr>
          <w:p w14:paraId="13A4073B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color w:val="7F7F7F"/>
              </w:rPr>
            </w:pPr>
            <w:r w:rsidRPr="00307AA5">
              <w:rPr>
                <w:rFonts w:ascii="Calibri" w:hAnsi="Calibri" w:cs="Calibri"/>
                <w:color w:val="7F7F7F"/>
              </w:rPr>
              <w:t>43.027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16B60CC5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154,32%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EEFFE6"/>
            <w:noWrap/>
            <w:vAlign w:val="bottom"/>
            <w:hideMark/>
          </w:tcPr>
          <w:p w14:paraId="6114AD18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</w:rPr>
            </w:pPr>
            <w:r w:rsidRPr="00307AA5">
              <w:rPr>
                <w:rFonts w:ascii="Calibri" w:hAnsi="Calibri" w:cs="Calibri"/>
              </w:rPr>
              <w:t>101,47%</w:t>
            </w:r>
          </w:p>
        </w:tc>
      </w:tr>
      <w:tr w:rsidR="00307AA5" w:rsidRPr="00307AA5" w14:paraId="258DCADF" w14:textId="77777777" w:rsidTr="00307AA5">
        <w:trPr>
          <w:trHeight w:val="292"/>
        </w:trPr>
        <w:tc>
          <w:tcPr>
            <w:tcW w:w="382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71867869" w14:textId="77777777" w:rsidR="00307AA5" w:rsidRPr="00307AA5" w:rsidRDefault="00307AA5" w:rsidP="00307AA5">
            <w:pPr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Ukupno: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4EC64E0D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839.756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8AD36F2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5.915.402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18219CCF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307AA5">
              <w:rPr>
                <w:rFonts w:ascii="Calibri" w:hAnsi="Calibri" w:cs="Calibri"/>
                <w:b/>
                <w:bCs/>
                <w:color w:val="7F7F7F"/>
              </w:rPr>
              <w:t>485.650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5C898232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b/>
                <w:bCs/>
                <w:color w:val="7F7F7F"/>
              </w:rPr>
            </w:pPr>
            <w:r w:rsidRPr="00307AA5">
              <w:rPr>
                <w:rFonts w:ascii="Calibri" w:hAnsi="Calibri" w:cs="Calibri"/>
                <w:b/>
                <w:bCs/>
                <w:color w:val="7F7F7F"/>
              </w:rPr>
              <w:t>4.034.430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2549F91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172,91%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B7B7B7"/>
              <w:right w:val="single" w:sz="4" w:space="0" w:color="B7B7B7"/>
            </w:tcBorders>
            <w:shd w:val="clear" w:color="000000" w:fill="B7B7B7"/>
            <w:noWrap/>
            <w:vAlign w:val="bottom"/>
            <w:hideMark/>
          </w:tcPr>
          <w:p w14:paraId="237A4AA1" w14:textId="77777777" w:rsidR="00307AA5" w:rsidRPr="00307AA5" w:rsidRDefault="00307AA5" w:rsidP="00307AA5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307AA5">
              <w:rPr>
                <w:rFonts w:ascii="Calibri" w:hAnsi="Calibri" w:cs="Calibri"/>
                <w:b/>
                <w:bCs/>
              </w:rPr>
              <w:t>146,62%</w:t>
            </w:r>
          </w:p>
        </w:tc>
      </w:tr>
    </w:tbl>
    <w:p w14:paraId="3161119F" w14:textId="73EDD20E" w:rsidR="00307AA5" w:rsidRDefault="00307AA5" w:rsidP="00307AA5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05A0665D" w14:textId="77777777" w:rsidR="00307AA5" w:rsidRDefault="00307AA5" w:rsidP="00307AA5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142A81F8" w14:textId="3DC8B327" w:rsidR="00466E27" w:rsidRDefault="00466E27" w:rsidP="00466E27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p w14:paraId="05996460" w14:textId="77777777" w:rsidR="0038238F" w:rsidRDefault="00497C07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  <w:r>
        <w:rPr>
          <w:noProof/>
          <w:lang w:eastAsia="hr-HR"/>
        </w:rPr>
        <w:drawing>
          <wp:inline distT="0" distB="0" distL="0" distR="0" wp14:anchorId="3709A3DE" wp14:editId="67661EBB">
            <wp:extent cx="5648325" cy="2790825"/>
            <wp:effectExtent l="0" t="0" r="9525" b="95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8AC6C26" w14:textId="77777777" w:rsidR="0038238F" w:rsidRDefault="0038238F" w:rsidP="00EC7CEF">
      <w:pPr>
        <w:pStyle w:val="Default"/>
        <w:rPr>
          <w:rFonts w:ascii="Century Gothic" w:hAnsi="Century Gothic"/>
          <w:b/>
          <w:bCs/>
          <w:i/>
          <w:color w:val="2E74B5" w:themeColor="accent1" w:themeShade="BF"/>
          <w:sz w:val="22"/>
          <w:szCs w:val="22"/>
        </w:rPr>
      </w:pPr>
    </w:p>
    <w:tbl>
      <w:tblPr>
        <w:tblW w:w="18948" w:type="dxa"/>
        <w:tblInd w:w="-1659" w:type="dxa"/>
        <w:tblLook w:val="04A0" w:firstRow="1" w:lastRow="0" w:firstColumn="1" w:lastColumn="0" w:noHBand="0" w:noVBand="1"/>
      </w:tblPr>
      <w:tblGrid>
        <w:gridCol w:w="2368"/>
        <w:gridCol w:w="7416"/>
        <w:gridCol w:w="780"/>
        <w:gridCol w:w="1314"/>
        <w:gridCol w:w="918"/>
        <w:gridCol w:w="222"/>
        <w:gridCol w:w="1033"/>
        <w:gridCol w:w="1223"/>
        <w:gridCol w:w="918"/>
        <w:gridCol w:w="918"/>
        <w:gridCol w:w="920"/>
        <w:gridCol w:w="918"/>
      </w:tblGrid>
      <w:tr w:rsidR="00346094" w:rsidRPr="009F7079" w14:paraId="3FE7532D" w14:textId="77777777" w:rsidTr="001D7231">
        <w:trPr>
          <w:trHeight w:val="201"/>
        </w:trPr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CD4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86CEA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2439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58907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6C81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C68EE3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4A2AF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1F61B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B3E2D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5D326C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40644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EE9" w14:textId="77777777" w:rsidR="00346094" w:rsidRPr="009F7079" w:rsidRDefault="00346094" w:rsidP="009F7079">
            <w:pPr>
              <w:rPr>
                <w:sz w:val="20"/>
                <w:szCs w:val="20"/>
              </w:rPr>
            </w:pPr>
          </w:p>
        </w:tc>
      </w:tr>
    </w:tbl>
    <w:p w14:paraId="286EB9B8" w14:textId="77777777" w:rsidR="009F7079" w:rsidRDefault="009F7079" w:rsidP="000B6043">
      <w:pPr>
        <w:rPr>
          <w:rFonts w:ascii="Century Gothic" w:hAnsi="Century Gothic"/>
          <w:color w:val="2E74B5" w:themeColor="accent1" w:themeShade="BF"/>
        </w:rPr>
      </w:pPr>
    </w:p>
    <w:p w14:paraId="3AD78F8D" w14:textId="77777777" w:rsidR="00FD3871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          </w:t>
      </w:r>
    </w:p>
    <w:p w14:paraId="7AAAE78A" w14:textId="77777777" w:rsidR="00B80E73" w:rsidRDefault="000D3220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</w:t>
      </w:r>
    </w:p>
    <w:p w14:paraId="098198BD" w14:textId="77777777" w:rsidR="00B80E73" w:rsidRDefault="00B80E73" w:rsidP="000B6043">
      <w:pPr>
        <w:rPr>
          <w:rFonts w:ascii="Century Gothic" w:hAnsi="Century Gothic"/>
          <w:color w:val="2E74B5" w:themeColor="accent1" w:themeShade="BF"/>
        </w:rPr>
      </w:pPr>
    </w:p>
    <w:p w14:paraId="4BCD4B06" w14:textId="3A29E10A" w:rsidR="005A62C8" w:rsidRPr="001D7CA4" w:rsidRDefault="00D778AD" w:rsidP="00D778AD">
      <w:pPr>
        <w:pStyle w:val="Odlomakpopisa"/>
        <w:numPr>
          <w:ilvl w:val="0"/>
          <w:numId w:val="13"/>
        </w:numPr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</w:pP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Trend kretanja broja dolazaka i noćenja domaćih i stranih turista 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za razdoblje siječanj – </w:t>
      </w:r>
      <w:r w:rsidR="00C4377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prosinac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od 201</w:t>
      </w:r>
      <w:r w:rsidR="000F48E6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1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 do 20</w:t>
      </w:r>
      <w:r w:rsidR="008425AA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2</w:t>
      </w:r>
      <w:r w:rsidR="00307AA5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1</w:t>
      </w:r>
      <w:r w:rsidR="001D7CA4"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>.</w:t>
      </w:r>
      <w:r w:rsidRPr="001D7CA4">
        <w:rPr>
          <w:rFonts w:ascii="Century Gothic" w:hAnsi="Century Gothic"/>
          <w:b/>
          <w:i/>
          <w:color w:val="2E74B5" w:themeColor="accent1" w:themeShade="BF"/>
          <w:sz w:val="22"/>
          <w:szCs w:val="22"/>
        </w:rPr>
        <w:t xml:space="preserve"> godine </w:t>
      </w:r>
    </w:p>
    <w:p w14:paraId="1DC40025" w14:textId="77777777" w:rsidR="00FD3871" w:rsidRPr="00D778AD" w:rsidRDefault="00FD3871" w:rsidP="000B6043">
      <w:pPr>
        <w:rPr>
          <w:rFonts w:ascii="Century Gothic" w:hAnsi="Century Gothic"/>
          <w:color w:val="2E74B5" w:themeColor="accent1" w:themeShade="BF"/>
          <w:sz w:val="22"/>
          <w:szCs w:val="22"/>
        </w:rPr>
      </w:pPr>
    </w:p>
    <w:p w14:paraId="0346528D" w14:textId="77777777" w:rsidR="00FD3871" w:rsidRPr="00D778AD" w:rsidRDefault="00D778AD" w:rsidP="00D778AD">
      <w:pPr>
        <w:pStyle w:val="Default"/>
        <w:rPr>
          <w:rFonts w:ascii="Century Gothic" w:hAnsi="Century Gothic"/>
          <w:color w:val="2E74B5" w:themeColor="accent1" w:themeShade="BF"/>
          <w:sz w:val="22"/>
          <w:szCs w:val="22"/>
        </w:rPr>
      </w:pP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Trend kretanja broja dolazaka turista u prvih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dvanaest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mjeseci u posljednjih </w:t>
      </w:r>
      <w:r w:rsidR="00AC29F6">
        <w:rPr>
          <w:rFonts w:ascii="Century Gothic" w:hAnsi="Century Gothic"/>
          <w:color w:val="2E74B5" w:themeColor="accent1" w:themeShade="BF"/>
          <w:sz w:val="22"/>
          <w:szCs w:val="22"/>
        </w:rPr>
        <w:t>sedam</w:t>
      </w:r>
      <w:r w:rsidRPr="00D778AD">
        <w:rPr>
          <w:rFonts w:ascii="Century Gothic" w:hAnsi="Century Gothic"/>
          <w:color w:val="2E74B5" w:themeColor="accent1" w:themeShade="BF"/>
          <w:sz w:val="22"/>
          <w:szCs w:val="22"/>
        </w:rPr>
        <w:t xml:space="preserve"> godina bilježi naglašen trend rasta, prvenstveno zahvaljujući stalnom rastu broja stranih turista. </w:t>
      </w:r>
    </w:p>
    <w:p w14:paraId="3BD9AD29" w14:textId="77777777" w:rsidR="00FD3871" w:rsidRDefault="00FD3871" w:rsidP="000B6043">
      <w:pPr>
        <w:rPr>
          <w:rFonts w:ascii="Century Gothic" w:hAnsi="Century Gothic"/>
          <w:color w:val="2E74B5" w:themeColor="accent1" w:themeShade="BF"/>
        </w:rPr>
      </w:pPr>
    </w:p>
    <w:p w14:paraId="28D4D1BE" w14:textId="31274875" w:rsidR="00D3757D" w:rsidRDefault="00D3757D" w:rsidP="000B6043">
      <w:pPr>
        <w:rPr>
          <w:rFonts w:ascii="Century Gothic" w:hAnsi="Century Gothic"/>
          <w:color w:val="2E74B5" w:themeColor="accent1" w:themeShade="BF"/>
        </w:rPr>
      </w:pPr>
    </w:p>
    <w:p w14:paraId="077F3A52" w14:textId="66F4FAA6" w:rsidR="00FD3871" w:rsidRDefault="005A62C8" w:rsidP="000B6043">
      <w:pPr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t xml:space="preserve">          </w:t>
      </w:r>
    </w:p>
    <w:p w14:paraId="36ED1C87" w14:textId="4B170208" w:rsidR="00962658" w:rsidRDefault="008B17E6" w:rsidP="005A62C8">
      <w:pPr>
        <w:jc w:val="center"/>
        <w:rPr>
          <w:rFonts w:ascii="Century Gothic" w:hAnsi="Century Gothic"/>
          <w:color w:val="2E74B5" w:themeColor="accent1" w:themeShade="BF"/>
        </w:rPr>
      </w:pPr>
      <w:r>
        <w:rPr>
          <w:noProof/>
        </w:rPr>
        <w:drawing>
          <wp:inline distT="0" distB="0" distL="0" distR="0" wp14:anchorId="45140462" wp14:editId="193AD190">
            <wp:extent cx="6067425" cy="3009900"/>
            <wp:effectExtent l="0" t="0" r="9525" b="0"/>
            <wp:docPr id="19" name="Grafikon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16C3E7C" w14:textId="77777777" w:rsidR="00962658" w:rsidRDefault="00962658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70A5F3E9" w14:textId="77777777" w:rsidR="00FD3871" w:rsidRDefault="00FD3871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298B1BD2" w14:textId="7A1F3C6D" w:rsidR="00735B9D" w:rsidRDefault="00224ED2" w:rsidP="000F48E6">
      <w:pPr>
        <w:tabs>
          <w:tab w:val="left" w:pos="915"/>
        </w:tabs>
        <w:rPr>
          <w:rFonts w:ascii="Century Gothic" w:hAnsi="Century Gothic"/>
          <w:color w:val="2E74B5" w:themeColor="accent1" w:themeShade="BF"/>
        </w:rPr>
      </w:pPr>
      <w:r>
        <w:rPr>
          <w:rFonts w:ascii="Century Gothic" w:hAnsi="Century Gothic"/>
          <w:color w:val="2E74B5" w:themeColor="accent1" w:themeShade="BF"/>
        </w:rPr>
        <w:lastRenderedPageBreak/>
        <w:tab/>
      </w:r>
      <w:r w:rsidR="008B17E6">
        <w:rPr>
          <w:noProof/>
        </w:rPr>
        <w:drawing>
          <wp:inline distT="0" distB="0" distL="0" distR="0" wp14:anchorId="09BB0E41" wp14:editId="58ADC368">
            <wp:extent cx="6096000" cy="2976245"/>
            <wp:effectExtent l="0" t="0" r="0" b="14605"/>
            <wp:docPr id="20" name="Grafikon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B70999" w14:textId="77777777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00F82946" w14:textId="07CFADF0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4B540B1E" w14:textId="77777777" w:rsidR="00735B9D" w:rsidRDefault="00735B9D" w:rsidP="005A62C8">
      <w:pPr>
        <w:jc w:val="center"/>
        <w:rPr>
          <w:rFonts w:ascii="Century Gothic" w:hAnsi="Century Gothic"/>
          <w:color w:val="2E74B5" w:themeColor="accent1" w:themeShade="BF"/>
        </w:rPr>
      </w:pPr>
    </w:p>
    <w:p w14:paraId="5B6AED85" w14:textId="69F3B008" w:rsidR="002D1B40" w:rsidRPr="00236CEE" w:rsidRDefault="002D1B40" w:rsidP="00236CEE">
      <w:pPr>
        <w:pStyle w:val="Odlomakpopisa"/>
        <w:numPr>
          <w:ilvl w:val="0"/>
          <w:numId w:val="13"/>
        </w:num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Struktura gos</w:t>
      </w:r>
      <w:r w:rsidR="00C44B66"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tiju po zemljama dolaska za dvanaest</w:t>
      </w: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 mjeseci 20</w:t>
      </w:r>
      <w:r w:rsidR="00466E27"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2</w:t>
      </w:r>
      <w:r w:rsidR="001B7375">
        <w:rPr>
          <w:rFonts w:ascii="Century Gothic" w:hAnsi="Century Gothic"/>
          <w:b/>
          <w:color w:val="2E74B5" w:themeColor="accent1" w:themeShade="BF"/>
          <w:sz w:val="22"/>
          <w:szCs w:val="22"/>
        </w:rPr>
        <w:t>1</w:t>
      </w:r>
      <w:r w:rsidRPr="00236CEE">
        <w:rPr>
          <w:rFonts w:ascii="Century Gothic" w:hAnsi="Century Gothic"/>
          <w:b/>
          <w:color w:val="2E74B5" w:themeColor="accent1" w:themeShade="BF"/>
          <w:sz w:val="22"/>
          <w:szCs w:val="22"/>
        </w:rPr>
        <w:t>. godine</w:t>
      </w:r>
    </w:p>
    <w:p w14:paraId="3026F7EF" w14:textId="77777777" w:rsid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20265E3" w14:textId="77777777" w:rsidR="00BC23E6" w:rsidRPr="00BC23E6" w:rsidRDefault="00BC23E6" w:rsidP="00BC23E6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10B9C0B" w14:textId="77777777"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56E1F07" w14:textId="77777777" w:rsidR="002D1B40" w:rsidRDefault="00BC23E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4BE7FB5" wp14:editId="4185D658">
            <wp:extent cx="6019800" cy="4737735"/>
            <wp:effectExtent l="0" t="0" r="0" b="5715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E110620C-57B7-424F-9E57-7751FF544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CA8F887" w14:textId="77777777" w:rsidR="002D1B40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9533A98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16153673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6D68742" w14:textId="77777777" w:rsidR="004A7BF4" w:rsidRDefault="004A7BF4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F0FD2A2" w14:textId="77777777" w:rsidR="002D1B40" w:rsidRDefault="00B80E73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5. </w:t>
      </w:r>
      <w:r w:rsidR="00C0533B">
        <w:rPr>
          <w:rFonts w:ascii="Century Gothic" w:hAnsi="Century Gothic"/>
          <w:b/>
          <w:color w:val="2E74B5" w:themeColor="accent1" w:themeShade="BF"/>
          <w:sz w:val="22"/>
          <w:szCs w:val="22"/>
        </w:rPr>
        <w:t xml:space="preserve">Smještajni kapaciteti na području Šibensko – kninske županije </w:t>
      </w:r>
    </w:p>
    <w:p w14:paraId="0D105AA9" w14:textId="77777777" w:rsidR="00312B96" w:rsidRDefault="00312B96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772B5A6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tbl>
      <w:tblPr>
        <w:tblW w:w="8222" w:type="dxa"/>
        <w:tblInd w:w="-5" w:type="dxa"/>
        <w:tblLook w:val="04A0" w:firstRow="1" w:lastRow="0" w:firstColumn="1" w:lastColumn="0" w:noHBand="0" w:noVBand="1"/>
      </w:tblPr>
      <w:tblGrid>
        <w:gridCol w:w="5160"/>
        <w:gridCol w:w="1503"/>
        <w:gridCol w:w="1559"/>
      </w:tblGrid>
      <w:tr w:rsidR="00D411D6" w:rsidRPr="00D411D6" w14:paraId="73BAC8E3" w14:textId="77777777" w:rsidTr="00D411D6">
        <w:trPr>
          <w:trHeight w:val="94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16AF7A3F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Vrsta objekta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4F18DAA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objekata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21D4973D" w14:textId="77777777" w:rsidR="00D411D6" w:rsidRPr="00D411D6" w:rsidRDefault="00D411D6" w:rsidP="00D411D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 ležajeva (osnovni)</w:t>
            </w:r>
          </w:p>
        </w:tc>
      </w:tr>
      <w:tr w:rsidR="00D411D6" w:rsidRPr="00D411D6" w14:paraId="46600167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FB9A27A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Hoteli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F9AFF74" w14:textId="2174E2E5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1E437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2846FCE1" w14:textId="5F13CAD4" w:rsidR="00D411D6" w:rsidRPr="00D411D6" w:rsidRDefault="0000649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9.386</w:t>
            </w:r>
          </w:p>
        </w:tc>
      </w:tr>
      <w:tr w:rsidR="00D411D6" w:rsidRPr="00D411D6" w14:paraId="60F98DA7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C22B910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Kampovi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B228331" w14:textId="3E4A298A" w:rsidR="00D411D6" w:rsidRPr="00D411D6" w:rsidRDefault="001E437B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460FA353" w14:textId="74F52658" w:rsidR="00D411D6" w:rsidRPr="00D411D6" w:rsidRDefault="0000649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16.149</w:t>
            </w:r>
          </w:p>
        </w:tc>
      </w:tr>
      <w:tr w:rsidR="00D411D6" w:rsidRPr="00D411D6" w14:paraId="7DDAFD6C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60BC2C16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Nekomercijalni smještaj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F441D4" w14:textId="3C435C1D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  <w:r w:rsidR="001E437B">
              <w:rPr>
                <w:rFonts w:ascii="Calibri" w:hAnsi="Calibri"/>
                <w:color w:val="000000"/>
              </w:rPr>
              <w:t>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E8E22D5" w14:textId="66B657AF" w:rsidR="00D411D6" w:rsidRPr="00D411D6" w:rsidRDefault="0000649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43.991</w:t>
            </w:r>
          </w:p>
        </w:tc>
      </w:tr>
      <w:tr w:rsidR="00D411D6" w:rsidRPr="00D411D6" w14:paraId="0DB351E5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55391357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Objekti na OPG-u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9A7DB3B" w14:textId="2EDD4BCE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1E437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07922C1F" w14:textId="2C9818DE" w:rsidR="00D411D6" w:rsidRPr="00D411D6" w:rsidRDefault="0000649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185</w:t>
            </w:r>
          </w:p>
        </w:tc>
      </w:tr>
      <w:tr w:rsidR="00D411D6" w:rsidRPr="00D411D6" w14:paraId="29148FFA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33596D3F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Objekti u domaćinstvu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8C0E66D" w14:textId="1C756CEC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E437B">
              <w:rPr>
                <w:rFonts w:ascii="Calibri" w:hAnsi="Calibri"/>
                <w:color w:val="000000"/>
              </w:rPr>
              <w:t>.977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B54A396" w14:textId="5692E544" w:rsidR="00D411D6" w:rsidRPr="00D411D6" w:rsidRDefault="0000649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50.400</w:t>
            </w:r>
          </w:p>
        </w:tc>
      </w:tr>
      <w:tr w:rsidR="00D411D6" w:rsidRPr="00D411D6" w14:paraId="1989BB2D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14E4459C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 xml:space="preserve">Ostali ugostiteljski objekti za smještaj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44F38B5" w14:textId="5ADD516D" w:rsidR="00D411D6" w:rsidRPr="00D411D6" w:rsidRDefault="001E437B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3E3F32B9" w14:textId="14210D71" w:rsidR="00D411D6" w:rsidRPr="00D411D6" w:rsidRDefault="00006496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7.301</w:t>
            </w:r>
          </w:p>
        </w:tc>
      </w:tr>
      <w:tr w:rsidR="00D411D6" w:rsidRPr="00D411D6" w14:paraId="06A27146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53DE6A43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Ostalo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69F8008" w14:textId="449C3C33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7FFF77C3" w14:textId="6D6CFD89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282</w:t>
            </w:r>
          </w:p>
        </w:tc>
      </w:tr>
      <w:tr w:rsidR="00D411D6" w:rsidRPr="00D411D6" w14:paraId="07DEF86F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14:paraId="20E0409B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Restorani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61B3A4C" w14:textId="38BE42F3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</w:tcPr>
          <w:p w14:paraId="6D985417" w14:textId="10CF1FEF" w:rsidR="00D411D6" w:rsidRPr="00D411D6" w:rsidRDefault="00886815" w:rsidP="00D411D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</w:tr>
      <w:tr w:rsidR="00D411D6" w:rsidRPr="00D411D6" w14:paraId="69A42AAB" w14:textId="77777777" w:rsidTr="004B410A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FED7A64" w14:textId="77777777" w:rsidR="00D411D6" w:rsidRPr="00D411D6" w:rsidRDefault="00D411D6" w:rsidP="00D411D6">
            <w:pPr>
              <w:rPr>
                <w:rFonts w:ascii="Calibri" w:hAnsi="Calibri"/>
                <w:b/>
                <w:bCs/>
                <w:color w:val="000000"/>
              </w:rPr>
            </w:pPr>
            <w:r w:rsidRPr="00D411D6">
              <w:rPr>
                <w:rFonts w:ascii="Calibri" w:hAnsi="Calibri"/>
                <w:b/>
                <w:bCs/>
                <w:color w:val="000000"/>
              </w:rPr>
              <w:t>Ukupno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247D0D6B" w14:textId="30F62367" w:rsidR="00D411D6" w:rsidRPr="00D411D6" w:rsidRDefault="001E437B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19.477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14:paraId="6C789976" w14:textId="6FFEC042" w:rsidR="00D411D6" w:rsidRPr="00D411D6" w:rsidRDefault="00666633" w:rsidP="00D411D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  <w:r w:rsidR="001E437B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.7</w:t>
            </w:r>
            <w:r w:rsidR="001E437B">
              <w:rPr>
                <w:rFonts w:ascii="Calibri" w:hAnsi="Calibri"/>
                <w:b/>
                <w:bCs/>
                <w:color w:val="000000"/>
              </w:rPr>
              <w:t>19</w:t>
            </w:r>
          </w:p>
        </w:tc>
      </w:tr>
    </w:tbl>
    <w:p w14:paraId="5A05C40D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A3F1013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50586B37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6B15ED4D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433D9863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2D0BD9B8" w14:textId="77777777" w:rsidR="0055153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  <w:r>
        <w:rPr>
          <w:noProof/>
        </w:rPr>
        <w:drawing>
          <wp:inline distT="0" distB="0" distL="0" distR="0" wp14:anchorId="7AD06CE4" wp14:editId="72FED6A7">
            <wp:extent cx="5372100" cy="38100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AAC33D2" w14:textId="77777777" w:rsidR="00551537" w:rsidRDefault="0055153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B4CE02B" w14:textId="77777777" w:rsidR="002D1B40" w:rsidRPr="00CB67EF" w:rsidRDefault="002D1B40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</w:p>
    <w:p w14:paraId="4F40CC81" w14:textId="77777777"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3F24683" w14:textId="77777777" w:rsidR="00285DD8" w:rsidRDefault="00285DD8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087B44F" w14:textId="77777777" w:rsidR="00160AC7" w:rsidRDefault="00160AC7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11CEE52" w14:textId="77777777"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7DEFC5C2" w14:textId="71C438A4" w:rsidR="00417EDB" w:rsidRDefault="00417EDB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p w14:paraId="0FBDE3D7" w14:textId="02DA771E" w:rsidR="005272BE" w:rsidRDefault="005272BE" w:rsidP="002D1B40">
      <w:pPr>
        <w:rPr>
          <w:rFonts w:ascii="Century Gothic" w:hAnsi="Century Gothic"/>
          <w:b/>
          <w:color w:val="2E74B5" w:themeColor="accent1" w:themeShade="BF"/>
          <w:sz w:val="22"/>
          <w:szCs w:val="22"/>
        </w:rPr>
      </w:pPr>
    </w:p>
    <w:sectPr w:rsidR="005272BE" w:rsidSect="008454C9">
      <w:footerReference w:type="default" r:id="rId15"/>
      <w:headerReference w:type="first" r:id="rId16"/>
      <w:pgSz w:w="11906" w:h="16838"/>
      <w:pgMar w:top="567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B981D" w14:textId="77777777" w:rsidR="00A91746" w:rsidRDefault="00A91746" w:rsidP="008E41D9">
      <w:r>
        <w:separator/>
      </w:r>
    </w:p>
  </w:endnote>
  <w:endnote w:type="continuationSeparator" w:id="0">
    <w:p w14:paraId="7BC4FAC5" w14:textId="77777777" w:rsidR="00A91746" w:rsidRDefault="00A91746" w:rsidP="008E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6A4C" w14:textId="77777777" w:rsidR="00EA2EB7" w:rsidRPr="00E900A3" w:rsidRDefault="00EA2EB7" w:rsidP="0080014C">
    <w:pPr>
      <w:rPr>
        <w:rFonts w:ascii="Century Gothic" w:hAnsi="Century Gothic"/>
        <w:color w:val="2E74B5" w:themeColor="accent1" w:themeShade="BF"/>
        <w:sz w:val="18"/>
        <w:szCs w:val="18"/>
      </w:rPr>
    </w:pPr>
  </w:p>
  <w:p w14:paraId="712DAFB6" w14:textId="77777777" w:rsidR="00EA2EB7" w:rsidRPr="008E41D9" w:rsidRDefault="00EA2EB7">
    <w:pPr>
      <w:pStyle w:val="Podnoje"/>
      <w:rPr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C4BB" w14:textId="77777777" w:rsidR="00A91746" w:rsidRDefault="00A91746" w:rsidP="008E41D9">
      <w:r>
        <w:separator/>
      </w:r>
    </w:p>
  </w:footnote>
  <w:footnote w:type="continuationSeparator" w:id="0">
    <w:p w14:paraId="48D7F17A" w14:textId="77777777" w:rsidR="00A91746" w:rsidRDefault="00A91746" w:rsidP="008E4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E821" w14:textId="77777777" w:rsidR="00EA2EB7" w:rsidRDefault="00EA2EB7" w:rsidP="00280DBC">
    <w:r>
      <w:rPr>
        <w:rFonts w:ascii="Berlin Sans FB Demi" w:hAnsi="Berlin Sans FB Demi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BE7"/>
    <w:multiLevelType w:val="hybridMultilevel"/>
    <w:tmpl w:val="25523774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11D36"/>
    <w:multiLevelType w:val="hybridMultilevel"/>
    <w:tmpl w:val="F1EC8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B4094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3" w15:restartNumberingAfterBreak="0">
    <w:nsid w:val="211B3590"/>
    <w:multiLevelType w:val="hybridMultilevel"/>
    <w:tmpl w:val="7C9E208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4349"/>
    <w:multiLevelType w:val="hybridMultilevel"/>
    <w:tmpl w:val="965CBEFC"/>
    <w:lvl w:ilvl="0" w:tplc="14382D4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0544A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6" w15:restartNumberingAfterBreak="0">
    <w:nsid w:val="306D7617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7" w15:restartNumberingAfterBreak="0">
    <w:nsid w:val="34043D7D"/>
    <w:multiLevelType w:val="hybridMultilevel"/>
    <w:tmpl w:val="0416416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80152"/>
    <w:multiLevelType w:val="hybridMultilevel"/>
    <w:tmpl w:val="2E7216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02D01"/>
    <w:multiLevelType w:val="hybridMultilevel"/>
    <w:tmpl w:val="B92C7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3510C"/>
    <w:multiLevelType w:val="hybridMultilevel"/>
    <w:tmpl w:val="A474924C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1A8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2" w15:restartNumberingAfterBreak="0">
    <w:nsid w:val="57814211"/>
    <w:multiLevelType w:val="hybridMultilevel"/>
    <w:tmpl w:val="F7AE5690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53BFE"/>
    <w:multiLevelType w:val="hybridMultilevel"/>
    <w:tmpl w:val="6746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76871"/>
    <w:multiLevelType w:val="hybridMultilevel"/>
    <w:tmpl w:val="1098FA18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B0D62"/>
    <w:multiLevelType w:val="hybridMultilevel"/>
    <w:tmpl w:val="87F06B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D1043"/>
    <w:multiLevelType w:val="hybridMultilevel"/>
    <w:tmpl w:val="9A02B05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87A81"/>
    <w:multiLevelType w:val="multilevel"/>
    <w:tmpl w:val="54FE14D4"/>
    <w:lvl w:ilvl="0">
      <w:start w:val="1"/>
      <w:numFmt w:val="decimal"/>
      <w:lvlText w:val="%1."/>
      <w:lvlJc w:val="left"/>
      <w:pPr>
        <w:ind w:left="567" w:firstLine="0"/>
      </w:pPr>
    </w:lvl>
    <w:lvl w:ilvl="1">
      <w:numFmt w:val="decimal"/>
      <w:lvlText w:val=""/>
      <w:lvlJc w:val="left"/>
      <w:pPr>
        <w:ind w:left="567" w:firstLine="0"/>
      </w:pPr>
    </w:lvl>
    <w:lvl w:ilvl="2">
      <w:numFmt w:val="decimal"/>
      <w:lvlText w:val=""/>
      <w:lvlJc w:val="left"/>
      <w:pPr>
        <w:ind w:left="567" w:firstLine="0"/>
      </w:pPr>
    </w:lvl>
    <w:lvl w:ilvl="3">
      <w:numFmt w:val="decimal"/>
      <w:lvlText w:val=""/>
      <w:lvlJc w:val="left"/>
      <w:pPr>
        <w:ind w:left="567" w:firstLine="0"/>
      </w:pPr>
    </w:lvl>
    <w:lvl w:ilvl="4">
      <w:numFmt w:val="decimal"/>
      <w:lvlText w:val=""/>
      <w:lvlJc w:val="left"/>
      <w:pPr>
        <w:ind w:left="567" w:firstLine="0"/>
      </w:pPr>
    </w:lvl>
    <w:lvl w:ilvl="5">
      <w:numFmt w:val="decimal"/>
      <w:lvlText w:val=""/>
      <w:lvlJc w:val="left"/>
      <w:pPr>
        <w:ind w:left="567" w:firstLine="0"/>
      </w:pPr>
    </w:lvl>
    <w:lvl w:ilvl="6">
      <w:numFmt w:val="decimal"/>
      <w:lvlText w:val=""/>
      <w:lvlJc w:val="left"/>
      <w:pPr>
        <w:ind w:left="567" w:firstLine="0"/>
      </w:pPr>
    </w:lvl>
    <w:lvl w:ilvl="7">
      <w:numFmt w:val="decimal"/>
      <w:lvlText w:val=""/>
      <w:lvlJc w:val="left"/>
      <w:pPr>
        <w:ind w:left="567" w:firstLine="0"/>
      </w:pPr>
    </w:lvl>
    <w:lvl w:ilvl="8">
      <w:numFmt w:val="decimal"/>
      <w:lvlText w:val=""/>
      <w:lvlJc w:val="left"/>
      <w:pPr>
        <w:ind w:left="567" w:firstLine="0"/>
      </w:pPr>
    </w:lvl>
  </w:abstractNum>
  <w:abstractNum w:abstractNumId="18" w15:restartNumberingAfterBreak="0">
    <w:nsid w:val="6E674469"/>
    <w:multiLevelType w:val="hybridMultilevel"/>
    <w:tmpl w:val="18469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3D648A"/>
    <w:multiLevelType w:val="hybridMultilevel"/>
    <w:tmpl w:val="56CE7C26"/>
    <w:lvl w:ilvl="0" w:tplc="66461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B431A"/>
    <w:multiLevelType w:val="hybridMultilevel"/>
    <w:tmpl w:val="FFC0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E13260"/>
    <w:multiLevelType w:val="hybridMultilevel"/>
    <w:tmpl w:val="06727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20"/>
  </w:num>
  <w:num w:numId="10">
    <w:abstractNumId w:val="16"/>
  </w:num>
  <w:num w:numId="11">
    <w:abstractNumId w:val="13"/>
  </w:num>
  <w:num w:numId="12">
    <w:abstractNumId w:val="18"/>
  </w:num>
  <w:num w:numId="13">
    <w:abstractNumId w:val="8"/>
  </w:num>
  <w:num w:numId="14">
    <w:abstractNumId w:val="15"/>
  </w:num>
  <w:num w:numId="15">
    <w:abstractNumId w:val="19"/>
  </w:num>
  <w:num w:numId="16">
    <w:abstractNumId w:val="14"/>
  </w:num>
  <w:num w:numId="17">
    <w:abstractNumId w:val="12"/>
  </w:num>
  <w:num w:numId="18">
    <w:abstractNumId w:val="10"/>
  </w:num>
  <w:num w:numId="19">
    <w:abstractNumId w:val="0"/>
  </w:num>
  <w:num w:numId="20">
    <w:abstractNumId w:val="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D9"/>
    <w:rsid w:val="0000104C"/>
    <w:rsid w:val="00006496"/>
    <w:rsid w:val="00006BC8"/>
    <w:rsid w:val="00020FEE"/>
    <w:rsid w:val="00032D91"/>
    <w:rsid w:val="000341DD"/>
    <w:rsid w:val="00034350"/>
    <w:rsid w:val="0004472F"/>
    <w:rsid w:val="0005200B"/>
    <w:rsid w:val="00053DDF"/>
    <w:rsid w:val="00056CBF"/>
    <w:rsid w:val="000573CD"/>
    <w:rsid w:val="000636D7"/>
    <w:rsid w:val="00064682"/>
    <w:rsid w:val="000658F8"/>
    <w:rsid w:val="00083DD8"/>
    <w:rsid w:val="0008585E"/>
    <w:rsid w:val="00090C99"/>
    <w:rsid w:val="00095A2C"/>
    <w:rsid w:val="000A3F26"/>
    <w:rsid w:val="000B3792"/>
    <w:rsid w:val="000B50BD"/>
    <w:rsid w:val="000B6043"/>
    <w:rsid w:val="000B7E83"/>
    <w:rsid w:val="000C060B"/>
    <w:rsid w:val="000D3220"/>
    <w:rsid w:val="000D5AB0"/>
    <w:rsid w:val="000F35C0"/>
    <w:rsid w:val="000F48E6"/>
    <w:rsid w:val="00102FBF"/>
    <w:rsid w:val="00110D1F"/>
    <w:rsid w:val="001124C8"/>
    <w:rsid w:val="00117F8C"/>
    <w:rsid w:val="00132E7B"/>
    <w:rsid w:val="00144C9A"/>
    <w:rsid w:val="00160AC7"/>
    <w:rsid w:val="00162F28"/>
    <w:rsid w:val="00167CD0"/>
    <w:rsid w:val="00176211"/>
    <w:rsid w:val="00187CBE"/>
    <w:rsid w:val="001901C8"/>
    <w:rsid w:val="00197603"/>
    <w:rsid w:val="001A088A"/>
    <w:rsid w:val="001B3446"/>
    <w:rsid w:val="001B41F3"/>
    <w:rsid w:val="001B7375"/>
    <w:rsid w:val="001C51F8"/>
    <w:rsid w:val="001C60D0"/>
    <w:rsid w:val="001D00F3"/>
    <w:rsid w:val="001D5B54"/>
    <w:rsid w:val="001D6B1E"/>
    <w:rsid w:val="001D7231"/>
    <w:rsid w:val="001D7CA4"/>
    <w:rsid w:val="001E15CC"/>
    <w:rsid w:val="001E437B"/>
    <w:rsid w:val="001F36F9"/>
    <w:rsid w:val="001F6401"/>
    <w:rsid w:val="00202DCB"/>
    <w:rsid w:val="00212509"/>
    <w:rsid w:val="002152C0"/>
    <w:rsid w:val="002158F6"/>
    <w:rsid w:val="00221703"/>
    <w:rsid w:val="00224ED2"/>
    <w:rsid w:val="00236CEE"/>
    <w:rsid w:val="00255D66"/>
    <w:rsid w:val="00280DBC"/>
    <w:rsid w:val="00284E40"/>
    <w:rsid w:val="00285DD8"/>
    <w:rsid w:val="00297CB0"/>
    <w:rsid w:val="002A4DBA"/>
    <w:rsid w:val="002A6CAD"/>
    <w:rsid w:val="002A7E90"/>
    <w:rsid w:val="002B4911"/>
    <w:rsid w:val="002D1846"/>
    <w:rsid w:val="002D1B40"/>
    <w:rsid w:val="002D27B2"/>
    <w:rsid w:val="002E4DAB"/>
    <w:rsid w:val="002F741D"/>
    <w:rsid w:val="0030144F"/>
    <w:rsid w:val="00305A78"/>
    <w:rsid w:val="00307AA5"/>
    <w:rsid w:val="003118D4"/>
    <w:rsid w:val="00312B96"/>
    <w:rsid w:val="003161B6"/>
    <w:rsid w:val="003228E6"/>
    <w:rsid w:val="003248AA"/>
    <w:rsid w:val="00334C2E"/>
    <w:rsid w:val="003378DD"/>
    <w:rsid w:val="00346094"/>
    <w:rsid w:val="00346678"/>
    <w:rsid w:val="0035238A"/>
    <w:rsid w:val="00356F0D"/>
    <w:rsid w:val="0038238F"/>
    <w:rsid w:val="00384024"/>
    <w:rsid w:val="00386306"/>
    <w:rsid w:val="00387B14"/>
    <w:rsid w:val="003936FA"/>
    <w:rsid w:val="003A0C4A"/>
    <w:rsid w:val="003A0D9A"/>
    <w:rsid w:val="003A462A"/>
    <w:rsid w:val="003B4E6D"/>
    <w:rsid w:val="003C5762"/>
    <w:rsid w:val="003C6BEE"/>
    <w:rsid w:val="003D02D9"/>
    <w:rsid w:val="003E374E"/>
    <w:rsid w:val="003F00E1"/>
    <w:rsid w:val="00404627"/>
    <w:rsid w:val="00410F74"/>
    <w:rsid w:val="00417EDB"/>
    <w:rsid w:val="004221EC"/>
    <w:rsid w:val="00422ECA"/>
    <w:rsid w:val="004312B8"/>
    <w:rsid w:val="004315BE"/>
    <w:rsid w:val="0045022C"/>
    <w:rsid w:val="0045239A"/>
    <w:rsid w:val="004565E6"/>
    <w:rsid w:val="004578F6"/>
    <w:rsid w:val="00466E27"/>
    <w:rsid w:val="00470D9A"/>
    <w:rsid w:val="00471B87"/>
    <w:rsid w:val="0047265D"/>
    <w:rsid w:val="00474E58"/>
    <w:rsid w:val="004768FD"/>
    <w:rsid w:val="00485B0F"/>
    <w:rsid w:val="004862EF"/>
    <w:rsid w:val="00490A92"/>
    <w:rsid w:val="00490FD6"/>
    <w:rsid w:val="00497C07"/>
    <w:rsid w:val="004A10FA"/>
    <w:rsid w:val="004A4A6A"/>
    <w:rsid w:val="004A7BF4"/>
    <w:rsid w:val="004B410A"/>
    <w:rsid w:val="004C11CA"/>
    <w:rsid w:val="004C49F0"/>
    <w:rsid w:val="004D1C62"/>
    <w:rsid w:val="004E1C00"/>
    <w:rsid w:val="004E414A"/>
    <w:rsid w:val="004E67F9"/>
    <w:rsid w:val="004E7534"/>
    <w:rsid w:val="004F232B"/>
    <w:rsid w:val="0050681A"/>
    <w:rsid w:val="005153F2"/>
    <w:rsid w:val="005272BE"/>
    <w:rsid w:val="00530441"/>
    <w:rsid w:val="005352F8"/>
    <w:rsid w:val="0053632A"/>
    <w:rsid w:val="0054512F"/>
    <w:rsid w:val="00551537"/>
    <w:rsid w:val="00552726"/>
    <w:rsid w:val="005548B8"/>
    <w:rsid w:val="00562471"/>
    <w:rsid w:val="00564DC3"/>
    <w:rsid w:val="00567723"/>
    <w:rsid w:val="00596584"/>
    <w:rsid w:val="005A1F57"/>
    <w:rsid w:val="005A2405"/>
    <w:rsid w:val="005A3424"/>
    <w:rsid w:val="005A4048"/>
    <w:rsid w:val="005A62C8"/>
    <w:rsid w:val="005D3D0C"/>
    <w:rsid w:val="005D4E9F"/>
    <w:rsid w:val="005E2FE2"/>
    <w:rsid w:val="005E39F4"/>
    <w:rsid w:val="005F6465"/>
    <w:rsid w:val="00600E8D"/>
    <w:rsid w:val="00602CED"/>
    <w:rsid w:val="006057DA"/>
    <w:rsid w:val="0061494A"/>
    <w:rsid w:val="00617A3D"/>
    <w:rsid w:val="00620A3C"/>
    <w:rsid w:val="00621C3B"/>
    <w:rsid w:val="006221DF"/>
    <w:rsid w:val="00634A58"/>
    <w:rsid w:val="006363B2"/>
    <w:rsid w:val="00651BE3"/>
    <w:rsid w:val="00655367"/>
    <w:rsid w:val="00666633"/>
    <w:rsid w:val="0067021C"/>
    <w:rsid w:val="00680615"/>
    <w:rsid w:val="00683043"/>
    <w:rsid w:val="00683C20"/>
    <w:rsid w:val="0069594D"/>
    <w:rsid w:val="006A473E"/>
    <w:rsid w:val="006C43F5"/>
    <w:rsid w:val="006C52F7"/>
    <w:rsid w:val="006D3292"/>
    <w:rsid w:val="006E2E72"/>
    <w:rsid w:val="006F1F63"/>
    <w:rsid w:val="00705D03"/>
    <w:rsid w:val="0071160C"/>
    <w:rsid w:val="00711693"/>
    <w:rsid w:val="00716183"/>
    <w:rsid w:val="007203B7"/>
    <w:rsid w:val="007211BD"/>
    <w:rsid w:val="0072422A"/>
    <w:rsid w:val="00734CB3"/>
    <w:rsid w:val="00735B9D"/>
    <w:rsid w:val="0074153C"/>
    <w:rsid w:val="00744AFA"/>
    <w:rsid w:val="007450C5"/>
    <w:rsid w:val="00760363"/>
    <w:rsid w:val="007617DC"/>
    <w:rsid w:val="007835D1"/>
    <w:rsid w:val="0078774B"/>
    <w:rsid w:val="00795492"/>
    <w:rsid w:val="007B38B7"/>
    <w:rsid w:val="007B4525"/>
    <w:rsid w:val="007B4B02"/>
    <w:rsid w:val="007B75D7"/>
    <w:rsid w:val="007C19CA"/>
    <w:rsid w:val="007C4F8A"/>
    <w:rsid w:val="007C7AA0"/>
    <w:rsid w:val="007D02FC"/>
    <w:rsid w:val="007D0848"/>
    <w:rsid w:val="007D1CE1"/>
    <w:rsid w:val="007D609D"/>
    <w:rsid w:val="007D67E8"/>
    <w:rsid w:val="007E7094"/>
    <w:rsid w:val="0080014C"/>
    <w:rsid w:val="00804D86"/>
    <w:rsid w:val="008237E4"/>
    <w:rsid w:val="008261C5"/>
    <w:rsid w:val="00826681"/>
    <w:rsid w:val="00832C02"/>
    <w:rsid w:val="00834E2E"/>
    <w:rsid w:val="008425AA"/>
    <w:rsid w:val="008454C9"/>
    <w:rsid w:val="0086282C"/>
    <w:rsid w:val="00884180"/>
    <w:rsid w:val="00886815"/>
    <w:rsid w:val="008B17E6"/>
    <w:rsid w:val="008B7903"/>
    <w:rsid w:val="008C4C19"/>
    <w:rsid w:val="008D4479"/>
    <w:rsid w:val="008E360F"/>
    <w:rsid w:val="008E3896"/>
    <w:rsid w:val="008E41D9"/>
    <w:rsid w:val="008E492B"/>
    <w:rsid w:val="008E7E8D"/>
    <w:rsid w:val="008F700C"/>
    <w:rsid w:val="00911BD3"/>
    <w:rsid w:val="00923588"/>
    <w:rsid w:val="0093133C"/>
    <w:rsid w:val="0093190D"/>
    <w:rsid w:val="00931DED"/>
    <w:rsid w:val="00940F5E"/>
    <w:rsid w:val="00941FAB"/>
    <w:rsid w:val="00943119"/>
    <w:rsid w:val="0094555F"/>
    <w:rsid w:val="009513B0"/>
    <w:rsid w:val="00957D28"/>
    <w:rsid w:val="00962658"/>
    <w:rsid w:val="009630F3"/>
    <w:rsid w:val="0097304F"/>
    <w:rsid w:val="009736CD"/>
    <w:rsid w:val="009848D5"/>
    <w:rsid w:val="00990C84"/>
    <w:rsid w:val="009A0EA7"/>
    <w:rsid w:val="009B3D12"/>
    <w:rsid w:val="009C5FB0"/>
    <w:rsid w:val="009E5F34"/>
    <w:rsid w:val="009E6689"/>
    <w:rsid w:val="009F7079"/>
    <w:rsid w:val="009F7A42"/>
    <w:rsid w:val="00A0214C"/>
    <w:rsid w:val="00A03CCC"/>
    <w:rsid w:val="00A1035B"/>
    <w:rsid w:val="00A17197"/>
    <w:rsid w:val="00A21F0C"/>
    <w:rsid w:val="00A31701"/>
    <w:rsid w:val="00A370C3"/>
    <w:rsid w:val="00A37EE9"/>
    <w:rsid w:val="00A40EDF"/>
    <w:rsid w:val="00A46B5D"/>
    <w:rsid w:val="00A661EE"/>
    <w:rsid w:val="00A676E0"/>
    <w:rsid w:val="00A743E2"/>
    <w:rsid w:val="00A835A5"/>
    <w:rsid w:val="00A83ACA"/>
    <w:rsid w:val="00A87986"/>
    <w:rsid w:val="00A91746"/>
    <w:rsid w:val="00A93FA3"/>
    <w:rsid w:val="00A95C34"/>
    <w:rsid w:val="00AB3947"/>
    <w:rsid w:val="00AB4A1C"/>
    <w:rsid w:val="00AC29F6"/>
    <w:rsid w:val="00AC604A"/>
    <w:rsid w:val="00AD4DED"/>
    <w:rsid w:val="00AD5C79"/>
    <w:rsid w:val="00AD5CCD"/>
    <w:rsid w:val="00AD7078"/>
    <w:rsid w:val="00AE1724"/>
    <w:rsid w:val="00AE3ABB"/>
    <w:rsid w:val="00AE6461"/>
    <w:rsid w:val="00AF1755"/>
    <w:rsid w:val="00B10F55"/>
    <w:rsid w:val="00B11C08"/>
    <w:rsid w:val="00B13451"/>
    <w:rsid w:val="00B15A33"/>
    <w:rsid w:val="00B258BD"/>
    <w:rsid w:val="00B337C1"/>
    <w:rsid w:val="00B47820"/>
    <w:rsid w:val="00B57DA1"/>
    <w:rsid w:val="00B61935"/>
    <w:rsid w:val="00B646E2"/>
    <w:rsid w:val="00B649EE"/>
    <w:rsid w:val="00B80E73"/>
    <w:rsid w:val="00B92B0F"/>
    <w:rsid w:val="00B93079"/>
    <w:rsid w:val="00B9655B"/>
    <w:rsid w:val="00B96BF1"/>
    <w:rsid w:val="00B96D20"/>
    <w:rsid w:val="00BA0A59"/>
    <w:rsid w:val="00BA40C0"/>
    <w:rsid w:val="00BA4B77"/>
    <w:rsid w:val="00BC0A73"/>
    <w:rsid w:val="00BC23E6"/>
    <w:rsid w:val="00BD56CB"/>
    <w:rsid w:val="00BE2625"/>
    <w:rsid w:val="00C0533B"/>
    <w:rsid w:val="00C16AD3"/>
    <w:rsid w:val="00C21C03"/>
    <w:rsid w:val="00C27438"/>
    <w:rsid w:val="00C31078"/>
    <w:rsid w:val="00C41692"/>
    <w:rsid w:val="00C419B7"/>
    <w:rsid w:val="00C4235E"/>
    <w:rsid w:val="00C4377A"/>
    <w:rsid w:val="00C44B66"/>
    <w:rsid w:val="00C5100D"/>
    <w:rsid w:val="00C51C91"/>
    <w:rsid w:val="00C52CB9"/>
    <w:rsid w:val="00C5507F"/>
    <w:rsid w:val="00C61FE8"/>
    <w:rsid w:val="00C70EF3"/>
    <w:rsid w:val="00C728C1"/>
    <w:rsid w:val="00C743FC"/>
    <w:rsid w:val="00C7674B"/>
    <w:rsid w:val="00C77515"/>
    <w:rsid w:val="00C91B89"/>
    <w:rsid w:val="00C952EF"/>
    <w:rsid w:val="00CB089D"/>
    <w:rsid w:val="00CB0E5B"/>
    <w:rsid w:val="00CB1155"/>
    <w:rsid w:val="00CB67EF"/>
    <w:rsid w:val="00CC4143"/>
    <w:rsid w:val="00CD60F3"/>
    <w:rsid w:val="00CF744E"/>
    <w:rsid w:val="00D03211"/>
    <w:rsid w:val="00D07335"/>
    <w:rsid w:val="00D226BD"/>
    <w:rsid w:val="00D246BF"/>
    <w:rsid w:val="00D3089E"/>
    <w:rsid w:val="00D3722D"/>
    <w:rsid w:val="00D3757D"/>
    <w:rsid w:val="00D411D6"/>
    <w:rsid w:val="00D46ADA"/>
    <w:rsid w:val="00D622DB"/>
    <w:rsid w:val="00D75039"/>
    <w:rsid w:val="00D778AD"/>
    <w:rsid w:val="00D83F1D"/>
    <w:rsid w:val="00DA390C"/>
    <w:rsid w:val="00DA7B28"/>
    <w:rsid w:val="00DB22F1"/>
    <w:rsid w:val="00DB35AD"/>
    <w:rsid w:val="00DC0239"/>
    <w:rsid w:val="00DC71E8"/>
    <w:rsid w:val="00DD0DB9"/>
    <w:rsid w:val="00DD3DE5"/>
    <w:rsid w:val="00DE6A8A"/>
    <w:rsid w:val="00DF0E88"/>
    <w:rsid w:val="00DF2FF3"/>
    <w:rsid w:val="00E13327"/>
    <w:rsid w:val="00E13948"/>
    <w:rsid w:val="00E17C5F"/>
    <w:rsid w:val="00E224EB"/>
    <w:rsid w:val="00E24F7C"/>
    <w:rsid w:val="00E31C6B"/>
    <w:rsid w:val="00E371FA"/>
    <w:rsid w:val="00E503C5"/>
    <w:rsid w:val="00E50A39"/>
    <w:rsid w:val="00E525FA"/>
    <w:rsid w:val="00E52804"/>
    <w:rsid w:val="00E53F99"/>
    <w:rsid w:val="00E67507"/>
    <w:rsid w:val="00E71CC0"/>
    <w:rsid w:val="00E82903"/>
    <w:rsid w:val="00E83FA7"/>
    <w:rsid w:val="00E900A3"/>
    <w:rsid w:val="00E92230"/>
    <w:rsid w:val="00E945FF"/>
    <w:rsid w:val="00E95C88"/>
    <w:rsid w:val="00E9787B"/>
    <w:rsid w:val="00EA2EB7"/>
    <w:rsid w:val="00EB70F9"/>
    <w:rsid w:val="00EC5104"/>
    <w:rsid w:val="00EC765E"/>
    <w:rsid w:val="00EC7CEF"/>
    <w:rsid w:val="00ED1E68"/>
    <w:rsid w:val="00ED2C53"/>
    <w:rsid w:val="00EE1FA1"/>
    <w:rsid w:val="00EE7C7E"/>
    <w:rsid w:val="00F02275"/>
    <w:rsid w:val="00F04564"/>
    <w:rsid w:val="00F135AF"/>
    <w:rsid w:val="00F16CFB"/>
    <w:rsid w:val="00F23611"/>
    <w:rsid w:val="00F3458C"/>
    <w:rsid w:val="00F34D82"/>
    <w:rsid w:val="00F40906"/>
    <w:rsid w:val="00F65680"/>
    <w:rsid w:val="00F65D22"/>
    <w:rsid w:val="00F705D8"/>
    <w:rsid w:val="00F91D69"/>
    <w:rsid w:val="00FA1E1D"/>
    <w:rsid w:val="00FA5E9E"/>
    <w:rsid w:val="00FD3871"/>
    <w:rsid w:val="00FD3E89"/>
    <w:rsid w:val="00FD45A6"/>
    <w:rsid w:val="00FD4883"/>
    <w:rsid w:val="00FD65AE"/>
    <w:rsid w:val="00FE6252"/>
    <w:rsid w:val="00FE7F56"/>
    <w:rsid w:val="00FF20CD"/>
    <w:rsid w:val="00FF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2DF97"/>
  <w15:chartTrackingRefBased/>
  <w15:docId w15:val="{22A8676B-7BA1-4A47-9B8C-1B514E87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41D9"/>
  </w:style>
  <w:style w:type="paragraph" w:styleId="Podnoje">
    <w:name w:val="footer"/>
    <w:basedOn w:val="Normal"/>
    <w:link w:val="PodnojeChar"/>
    <w:uiPriority w:val="99"/>
    <w:unhideWhenUsed/>
    <w:rsid w:val="008E41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41D9"/>
  </w:style>
  <w:style w:type="character" w:styleId="Hiperveza">
    <w:name w:val="Hyperlink"/>
    <w:unhideWhenUsed/>
    <w:rsid w:val="008E41D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00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0A3"/>
    <w:rPr>
      <w:rFonts w:ascii="Segoe UI" w:hAnsi="Segoe UI" w:cs="Segoe UI"/>
      <w:sz w:val="18"/>
      <w:szCs w:val="18"/>
    </w:rPr>
  </w:style>
  <w:style w:type="paragraph" w:styleId="Bezproreda">
    <w:name w:val="No Spacing"/>
    <w:link w:val="BezproredaChar"/>
    <w:uiPriority w:val="1"/>
    <w:qFormat/>
    <w:rsid w:val="00E900A3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900A3"/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B96D20"/>
    <w:pPr>
      <w:ind w:left="720"/>
    </w:pPr>
  </w:style>
  <w:style w:type="character" w:customStyle="1" w:styleId="fieldstyle">
    <w:name w:val="fieldstyle"/>
    <w:basedOn w:val="Zadanifontodlomka"/>
    <w:rsid w:val="00132E7B"/>
  </w:style>
  <w:style w:type="paragraph" w:styleId="Naglaencitat">
    <w:name w:val="Intense Quote"/>
    <w:basedOn w:val="Normal"/>
    <w:next w:val="Normal"/>
    <w:link w:val="NaglaencitatChar"/>
    <w:uiPriority w:val="30"/>
    <w:qFormat/>
    <w:rsid w:val="005965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96584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hr-HR"/>
    </w:rPr>
  </w:style>
  <w:style w:type="paragraph" w:customStyle="1" w:styleId="Default">
    <w:name w:val="Default"/>
    <w:rsid w:val="005965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94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Turistički promet po vrsti objekta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1"/>
          <c:order val="1"/>
          <c:tx>
            <c:strRef>
              <c:f>List1!$G$4:$G$5</c:f>
              <c:strCache>
                <c:ptCount val="2"/>
                <c:pt idx="0">
                  <c:v>01.01.2021.-31.12.2021.</c:v>
                </c:pt>
                <c:pt idx="1">
                  <c:v>Dolasci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List1!$G$6:$G$16</c:f>
              <c:numCache>
                <c:formatCode>#,##0;\-#,##0;" - "</c:formatCode>
                <c:ptCount val="11"/>
                <c:pt idx="0">
                  <c:v>176348</c:v>
                </c:pt>
                <c:pt idx="1">
                  <c:v>124061</c:v>
                </c:pt>
                <c:pt idx="2">
                  <c:v>1591</c:v>
                </c:pt>
                <c:pt idx="3">
                  <c:v>362969</c:v>
                </c:pt>
                <c:pt idx="4">
                  <c:v>41651</c:v>
                </c:pt>
                <c:pt idx="5">
                  <c:v>156</c:v>
                </c:pt>
                <c:pt idx="6">
                  <c:v>71</c:v>
                </c:pt>
                <c:pt idx="7">
                  <c:v>706847</c:v>
                </c:pt>
                <c:pt idx="8">
                  <c:v>33372</c:v>
                </c:pt>
                <c:pt idx="9">
                  <c:v>99537</c:v>
                </c:pt>
                <c:pt idx="10">
                  <c:v>839756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CE94-420F-AD21-C2F0A359D15D}"/>
            </c:ext>
          </c:extLst>
        </c:ser>
        <c:ser>
          <c:idx val="2"/>
          <c:order val="2"/>
          <c:tx>
            <c:strRef>
              <c:f>List1!$H$4:$H$5</c:f>
              <c:strCache>
                <c:ptCount val="2"/>
                <c:pt idx="0">
                  <c:v>01.01.2021.-31.12.2021.</c:v>
                </c:pt>
                <c:pt idx="1">
                  <c:v>Noćenja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List1!$H$6:$H$16</c:f>
              <c:numCache>
                <c:formatCode>#,##0;\-#,##0;" - "</c:formatCode>
                <c:ptCount val="11"/>
                <c:pt idx="0">
                  <c:v>720147</c:v>
                </c:pt>
                <c:pt idx="1">
                  <c:v>811541</c:v>
                </c:pt>
                <c:pt idx="2">
                  <c:v>5924</c:v>
                </c:pt>
                <c:pt idx="3">
                  <c:v>2642432</c:v>
                </c:pt>
                <c:pt idx="4">
                  <c:v>224662</c:v>
                </c:pt>
                <c:pt idx="5">
                  <c:v>2179</c:v>
                </c:pt>
                <c:pt idx="6">
                  <c:v>191</c:v>
                </c:pt>
                <c:pt idx="7">
                  <c:v>4407076</c:v>
                </c:pt>
                <c:pt idx="8">
                  <c:v>838861</c:v>
                </c:pt>
                <c:pt idx="9">
                  <c:v>669465</c:v>
                </c:pt>
                <c:pt idx="10">
                  <c:v>5915402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2-CE94-420F-AD21-C2F0A359D15D}"/>
            </c:ext>
          </c:extLst>
        </c:ser>
        <c:ser>
          <c:idx val="3"/>
          <c:order val="3"/>
          <c:tx>
            <c:strRef>
              <c:f>List1!$I$4:$I$5</c:f>
              <c:strCache>
                <c:ptCount val="2"/>
                <c:pt idx="0">
                  <c:v>01.01.2020.-31.12.2020.</c:v>
                </c:pt>
                <c:pt idx="1">
                  <c:v>Dolasci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/>
            </c:strRef>
          </c:cat>
          <c:val>
            <c:numRef>
              <c:f>List1!$I$6:$I$16</c:f>
              <c:numCache>
                <c:formatCode>#,##0;\-#,##0;" - "</c:formatCode>
                <c:ptCount val="11"/>
                <c:pt idx="0">
                  <c:v>71426</c:v>
                </c:pt>
                <c:pt idx="1">
                  <c:v>60641</c:v>
                </c:pt>
                <c:pt idx="2">
                  <c:v>788</c:v>
                </c:pt>
                <c:pt idx="3">
                  <c:v>245611</c:v>
                </c:pt>
                <c:pt idx="4">
                  <c:v>24414</c:v>
                </c:pt>
                <c:pt idx="5">
                  <c:v>132</c:v>
                </c:pt>
                <c:pt idx="6">
                  <c:v>69</c:v>
                </c:pt>
                <c:pt idx="7">
                  <c:v>403081</c:v>
                </c:pt>
                <c:pt idx="8">
                  <c:v>28494</c:v>
                </c:pt>
                <c:pt idx="9">
                  <c:v>54075</c:v>
                </c:pt>
                <c:pt idx="10">
                  <c:v>485650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3-CE94-420F-AD21-C2F0A359D15D}"/>
            </c:ext>
          </c:extLst>
        </c:ser>
        <c:ser>
          <c:idx val="4"/>
          <c:order val="4"/>
          <c:tx>
            <c:strRef>
              <c:f>List1!$J$4:$J$5</c:f>
              <c:strCache>
                <c:ptCount val="2"/>
                <c:pt idx="0">
                  <c:v>01.01.2020.-31.12.2020.</c:v>
                </c:pt>
                <c:pt idx="1">
                  <c:v>Noćenja</c:v>
                </c:pt>
              </c:strCache>
              <c:extLst xmlns:c15="http://schemas.microsoft.com/office/drawing/2012/chart"/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List1!$D$6:$D$16</c:f>
              <c:strCache>
                <c:ptCount val="11"/>
                <c:pt idx="0">
                  <c:v>Hoteli</c:v>
                </c:pt>
                <c:pt idx="1">
                  <c:v>Kampovi</c:v>
                </c:pt>
                <c:pt idx="2">
                  <c:v>Objekti na OPG-u (seljačkom domaćinstvu)</c:v>
                </c:pt>
                <c:pt idx="3">
                  <c:v>Objekti u domaćinstvu</c:v>
                </c:pt>
                <c:pt idx="4">
                  <c:v>Ostali ugostiteljski objekti za smještaj (Druge vrste - skupina kampovi)</c:v>
                </c:pt>
                <c:pt idx="5">
                  <c:v>Ostalo</c:v>
                </c:pt>
                <c:pt idx="6">
                  <c:v>Restorani</c:v>
                </c:pt>
                <c:pt idx="7">
                  <c:v>Ukupno komercijalni smještaj:</c:v>
                </c:pt>
                <c:pt idx="8">
                  <c:v>Nekomercijalni smještaj</c:v>
                </c:pt>
                <c:pt idx="9">
                  <c:v>Nautika</c:v>
                </c:pt>
                <c:pt idx="10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List1!$J$6:$J$16</c:f>
              <c:numCache>
                <c:formatCode>#,##0;\-#,##0;" - "</c:formatCode>
                <c:ptCount val="11"/>
                <c:pt idx="0">
                  <c:v>289660</c:v>
                </c:pt>
                <c:pt idx="1">
                  <c:v>429137</c:v>
                </c:pt>
                <c:pt idx="2">
                  <c:v>4503</c:v>
                </c:pt>
                <c:pt idx="3">
                  <c:v>1884783</c:v>
                </c:pt>
                <c:pt idx="4">
                  <c:v>148664</c:v>
                </c:pt>
                <c:pt idx="5">
                  <c:v>1847</c:v>
                </c:pt>
                <c:pt idx="6">
                  <c:v>196</c:v>
                </c:pt>
                <c:pt idx="7">
                  <c:v>2758790</c:v>
                </c:pt>
                <c:pt idx="8">
                  <c:v>901734</c:v>
                </c:pt>
                <c:pt idx="9">
                  <c:v>373906</c:v>
                </c:pt>
                <c:pt idx="10">
                  <c:v>4034430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CE94-420F-AD21-C2F0A359D1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26789072"/>
        <c:axId val="526790384"/>
        <c:axId val="424097664"/>
        <c:extLst>
          <c:ext xmlns:c15="http://schemas.microsoft.com/office/drawing/2012/chart" uri="{02D57815-91ED-43cb-92C2-25804820EDAC}">
            <c15:filteredBar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List1!$F$4:$F$5</c15:sqref>
                        </c15:formulaRef>
                      </c:ext>
                    </c:extLst>
                    <c:strCache>
                      <c:ptCount val="2"/>
                    </c:strCache>
                  </c:strRef>
                </c:tx>
                <c:spPr>
                  <a:solidFill>
                    <a:schemeClr val="accent1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1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  <c:pt idx="10">
                        <c:v>Ukupno: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List1!$F$6:$F$16</c15:sqref>
                        </c15:formulaRef>
                      </c:ext>
                    </c:extLst>
                    <c:numCache>
                      <c:formatCode>General</c:formatCode>
                      <c:ptCount val="11"/>
                      <c:pt idx="0">
                        <c:v>0</c:v>
                      </c:pt>
                      <c:pt idx="1">
                        <c:v>0</c:v>
                      </c:pt>
                      <c:pt idx="2">
                        <c:v>0</c:v>
                      </c:pt>
                      <c:pt idx="3">
                        <c:v>0</c:v>
                      </c:pt>
                      <c:pt idx="4">
                        <c:v>0</c:v>
                      </c:pt>
                      <c:pt idx="5">
                        <c:v>0</c:v>
                      </c:pt>
                      <c:pt idx="6">
                        <c:v>0</c:v>
                      </c:pt>
                      <c:pt idx="7">
                        <c:v>0</c:v>
                      </c:pt>
                      <c:pt idx="8">
                        <c:v>0</c:v>
                      </c:pt>
                      <c:pt idx="9">
                        <c:v>0</c:v>
                      </c:pt>
                      <c:pt idx="10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0-CE94-420F-AD21-C2F0A359D15D}"/>
                  </c:ext>
                </c:extLst>
              </c15:ser>
            </c15:filteredBarSeries>
            <c15:filteredBar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List1!$K$4:$K$5</c15:sqref>
                        </c15:formulaRef>
                      </c:ext>
                    </c:extLst>
                    <c:strCache>
                      <c:ptCount val="2"/>
                      <c:pt idx="0">
                        <c:v>Godišnji indeks</c:v>
                      </c:pt>
                      <c:pt idx="1">
                        <c:v>Dolasci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List1!$D$6:$D$16</c15:sqref>
                        </c15:formulaRef>
                      </c:ext>
                    </c:extLst>
                    <c:strCache>
                      <c:ptCount val="11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Objekti na OPG-u (seljačkom domaćinstvu)</c:v>
                      </c:pt>
                      <c:pt idx="3">
                        <c:v>Objekti u domaćinstvu</c:v>
                      </c:pt>
                      <c:pt idx="4">
                        <c:v>Ostali ugostiteljski objekti za smještaj (Druge vrste - skupina kampovi)</c:v>
                      </c:pt>
                      <c:pt idx="5">
                        <c:v>Ostalo</c:v>
                      </c:pt>
                      <c:pt idx="6">
                        <c:v>Restorani</c:v>
                      </c:pt>
                      <c:pt idx="7">
                        <c:v>Ukupno komercijalni smještaj:</c:v>
                      </c:pt>
                      <c:pt idx="8">
                        <c:v>Nekomercijalni smještaj</c:v>
                      </c:pt>
                      <c:pt idx="9">
                        <c:v>Nautika</c:v>
                      </c:pt>
                      <c:pt idx="10">
                        <c:v>Ukupno: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List1!$K$6:$K$16</c15:sqref>
                        </c15:formulaRef>
                      </c:ext>
                    </c:extLst>
                    <c:numCache>
                      <c:formatCode>0.00%</c:formatCode>
                      <c:ptCount val="11"/>
                      <c:pt idx="0">
                        <c:v>2.4689608825917735</c:v>
                      </c:pt>
                      <c:pt idx="1">
                        <c:v>2.0458270806879835</c:v>
                      </c:pt>
                      <c:pt idx="2">
                        <c:v>2.0190355329949239</c:v>
                      </c:pt>
                      <c:pt idx="3">
                        <c:v>1.4778206187833607</c:v>
                      </c:pt>
                      <c:pt idx="4">
                        <c:v>1.7060293274350782</c:v>
                      </c:pt>
                      <c:pt idx="5">
                        <c:v>1.1818181818181819</c:v>
                      </c:pt>
                      <c:pt idx="6">
                        <c:v>1.0289855072463767</c:v>
                      </c:pt>
                      <c:pt idx="7">
                        <c:v>1.7536103165368748</c:v>
                      </c:pt>
                      <c:pt idx="8">
                        <c:v>1.1711939355653822</c:v>
                      </c:pt>
                      <c:pt idx="9">
                        <c:v>1.8407212205270458</c:v>
                      </c:pt>
                      <c:pt idx="10">
                        <c:v>1.7291382683002161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5-CE94-420F-AD21-C2F0A359D15D}"/>
                  </c:ext>
                </c:extLst>
              </c15:ser>
            </c15:filteredBarSeries>
          </c:ext>
        </c:extLst>
      </c:bar3DChart>
      <c:catAx>
        <c:axId val="526789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526790384"/>
        <c:crosses val="autoZero"/>
        <c:auto val="1"/>
        <c:lblAlgn val="ctr"/>
        <c:lblOffset val="100"/>
        <c:noMultiLvlLbl val="0"/>
      </c:catAx>
      <c:valAx>
        <c:axId val="5267903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;\-#,##0;&quot; - &quot;" sourceLinked="1"/>
        <c:majorTickMark val="none"/>
        <c:minorTickMark val="none"/>
        <c:tickLblPos val="nextTo"/>
        <c:crossAx val="526789072"/>
        <c:crosses val="autoZero"/>
        <c:crossBetween val="between"/>
      </c:valAx>
      <c:serAx>
        <c:axId val="424097664"/>
        <c:scaling>
          <c:orientation val="minMax"/>
        </c:scaling>
        <c:delete val="1"/>
        <c:axPos val="b"/>
        <c:majorTickMark val="out"/>
        <c:minorTickMark val="none"/>
        <c:tickLblPos val="nextTo"/>
        <c:crossAx val="52679038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hr-HR"/>
              <a:t>STATISTIKA PO MJESTIMA 2021.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sr-Latn-RS"/>
        </a:p>
      </c:txPr>
    </c:title>
    <c:autoTitleDeleted val="0"/>
    <c:plotArea>
      <c:layout>
        <c:manualLayout>
          <c:layoutTarget val="inner"/>
          <c:xMode val="edge"/>
          <c:yMode val="edge"/>
          <c:x val="4.0113307927571451E-2"/>
          <c:y val="0.30673546352780989"/>
          <c:w val="0.95053400786958964"/>
          <c:h val="0.397370311646197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Sheet1!$C$8:$C$9</c:f>
              <c:strCache>
                <c:ptCount val="2"/>
                <c:pt idx="1">
                  <c:v>01.01.2021.-31.12.2021.</c:v>
                </c:pt>
              </c:strCache>
              <c:extLst xmlns:c15="http://schemas.microsoft.com/office/drawing/2012/chart"/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Sheet1!$C$10:$C$31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29099</c:v>
                </c:pt>
                <c:pt idx="2">
                  <c:v>6248</c:v>
                </c:pt>
                <c:pt idx="3">
                  <c:v>4896</c:v>
                </c:pt>
                <c:pt idx="4">
                  <c:v>15475</c:v>
                </c:pt>
                <c:pt idx="5">
                  <c:v>26760</c:v>
                </c:pt>
                <c:pt idx="6">
                  <c:v>1885</c:v>
                </c:pt>
                <c:pt idx="7">
                  <c:v>20171</c:v>
                </c:pt>
                <c:pt idx="8">
                  <c:v>53483</c:v>
                </c:pt>
                <c:pt idx="9">
                  <c:v>42083</c:v>
                </c:pt>
                <c:pt idx="10">
                  <c:v>92915</c:v>
                </c:pt>
                <c:pt idx="11">
                  <c:v>84660</c:v>
                </c:pt>
                <c:pt idx="12">
                  <c:v>18387</c:v>
                </c:pt>
                <c:pt idx="13">
                  <c:v>218961</c:v>
                </c:pt>
                <c:pt idx="14">
                  <c:v>2163</c:v>
                </c:pt>
                <c:pt idx="15">
                  <c:v>31982</c:v>
                </c:pt>
                <c:pt idx="16">
                  <c:v>22814</c:v>
                </c:pt>
                <c:pt idx="17">
                  <c:v>162595</c:v>
                </c:pt>
                <c:pt idx="18">
                  <c:v>5179</c:v>
                </c:pt>
                <c:pt idx="19">
                  <c:v>839756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2-D08B-47B8-8342-B50D9D74CDE4}"/>
            </c:ext>
          </c:extLst>
        </c:ser>
        <c:ser>
          <c:idx val="1"/>
          <c:order val="1"/>
          <c:tx>
            <c:strRef>
              <c:f>Sheet1!$D$8:$D$9</c:f>
              <c:strCache>
                <c:ptCount val="2"/>
                <c:pt idx="1">
                  <c:v>01.01.2021.-31.12.2021.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/>
            </c:strRef>
          </c:cat>
          <c:val>
            <c:numRef>
              <c:f>Sheet1!$D$10:$D$31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262088</c:v>
                </c:pt>
                <c:pt idx="2">
                  <c:v>51128</c:v>
                </c:pt>
                <c:pt idx="3">
                  <c:v>24876</c:v>
                </c:pt>
                <c:pt idx="4">
                  <c:v>144383</c:v>
                </c:pt>
                <c:pt idx="5">
                  <c:v>234441</c:v>
                </c:pt>
                <c:pt idx="6">
                  <c:v>4156</c:v>
                </c:pt>
                <c:pt idx="7">
                  <c:v>163249</c:v>
                </c:pt>
                <c:pt idx="8">
                  <c:v>418614</c:v>
                </c:pt>
                <c:pt idx="9">
                  <c:v>414099</c:v>
                </c:pt>
                <c:pt idx="10">
                  <c:v>660585</c:v>
                </c:pt>
                <c:pt idx="11">
                  <c:v>728225</c:v>
                </c:pt>
                <c:pt idx="12">
                  <c:v>57619</c:v>
                </c:pt>
                <c:pt idx="13">
                  <c:v>1148459</c:v>
                </c:pt>
                <c:pt idx="14">
                  <c:v>14730</c:v>
                </c:pt>
                <c:pt idx="15">
                  <c:v>235186</c:v>
                </c:pt>
                <c:pt idx="16">
                  <c:v>231437</c:v>
                </c:pt>
                <c:pt idx="17">
                  <c:v>1078466</c:v>
                </c:pt>
                <c:pt idx="18">
                  <c:v>43661</c:v>
                </c:pt>
                <c:pt idx="19">
                  <c:v>5915402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D08B-47B8-8342-B50D9D74CDE4}"/>
            </c:ext>
          </c:extLst>
        </c:ser>
        <c:ser>
          <c:idx val="2"/>
          <c:order val="2"/>
          <c:tx>
            <c:strRef>
              <c:f>Sheet1!$E$8:$E$9</c:f>
              <c:strCache>
                <c:ptCount val="2"/>
                <c:pt idx="1">
                  <c:v>01.01.2020.-31.12.2020.</c:v>
                </c:pt>
              </c:strCache>
              <c:extLst xmlns:c15="http://schemas.microsoft.com/office/drawing/2012/chart"/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Sheet1!$E$10:$E$31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15529</c:v>
                </c:pt>
                <c:pt idx="2">
                  <c:v>4538</c:v>
                </c:pt>
                <c:pt idx="3">
                  <c:v>2537</c:v>
                </c:pt>
                <c:pt idx="4">
                  <c:v>11601</c:v>
                </c:pt>
                <c:pt idx="5">
                  <c:v>16007</c:v>
                </c:pt>
                <c:pt idx="6">
                  <c:v>1227</c:v>
                </c:pt>
                <c:pt idx="7">
                  <c:v>12527</c:v>
                </c:pt>
                <c:pt idx="8">
                  <c:v>35784</c:v>
                </c:pt>
                <c:pt idx="9">
                  <c:v>27736</c:v>
                </c:pt>
                <c:pt idx="10">
                  <c:v>55201</c:v>
                </c:pt>
                <c:pt idx="11">
                  <c:v>57384</c:v>
                </c:pt>
                <c:pt idx="12">
                  <c:v>9066</c:v>
                </c:pt>
                <c:pt idx="13">
                  <c:v>103546</c:v>
                </c:pt>
                <c:pt idx="14">
                  <c:v>1169</c:v>
                </c:pt>
                <c:pt idx="15">
                  <c:v>15794</c:v>
                </c:pt>
                <c:pt idx="16">
                  <c:v>16089</c:v>
                </c:pt>
                <c:pt idx="17">
                  <c:v>96559</c:v>
                </c:pt>
                <c:pt idx="18">
                  <c:v>3356</c:v>
                </c:pt>
                <c:pt idx="19">
                  <c:v>485650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3-D08B-47B8-8342-B50D9D74CDE4}"/>
            </c:ext>
          </c:extLst>
        </c:ser>
        <c:ser>
          <c:idx val="3"/>
          <c:order val="3"/>
          <c:tx>
            <c:strRef>
              <c:f>Sheet1!$F$8:$F$9</c:f>
              <c:strCache>
                <c:ptCount val="2"/>
                <c:pt idx="1">
                  <c:v>01.01.2020.-31.12.2020.</c:v>
                </c:pt>
              </c:strCache>
              <c:extLst xmlns:c15="http://schemas.microsoft.com/office/drawing/2012/chart"/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Sheet1!$F$10:$F$31</c:f>
              <c:numCache>
                <c:formatCode>#,##0;\-#,##0;" - "</c:formatCode>
                <c:ptCount val="22"/>
                <c:pt idx="0" formatCode="General">
                  <c:v>0</c:v>
                </c:pt>
                <c:pt idx="1">
                  <c:v>169647</c:v>
                </c:pt>
                <c:pt idx="2">
                  <c:v>41650</c:v>
                </c:pt>
                <c:pt idx="3">
                  <c:v>15150</c:v>
                </c:pt>
                <c:pt idx="4">
                  <c:v>112649</c:v>
                </c:pt>
                <c:pt idx="5">
                  <c:v>149139</c:v>
                </c:pt>
                <c:pt idx="6">
                  <c:v>4432</c:v>
                </c:pt>
                <c:pt idx="7">
                  <c:v>109613</c:v>
                </c:pt>
                <c:pt idx="8">
                  <c:v>314126</c:v>
                </c:pt>
                <c:pt idx="9">
                  <c:v>344858</c:v>
                </c:pt>
                <c:pt idx="10">
                  <c:v>431526</c:v>
                </c:pt>
                <c:pt idx="11">
                  <c:v>558687</c:v>
                </c:pt>
                <c:pt idx="12">
                  <c:v>26979</c:v>
                </c:pt>
                <c:pt idx="13">
                  <c:v>629936</c:v>
                </c:pt>
                <c:pt idx="14">
                  <c:v>8454</c:v>
                </c:pt>
                <c:pt idx="15">
                  <c:v>147905</c:v>
                </c:pt>
                <c:pt idx="16">
                  <c:v>187714</c:v>
                </c:pt>
                <c:pt idx="17">
                  <c:v>738938</c:v>
                </c:pt>
                <c:pt idx="18">
                  <c:v>43027</c:v>
                </c:pt>
                <c:pt idx="19">
                  <c:v>4034430</c:v>
                </c:pt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4-D08B-47B8-8342-B50D9D74CDE4}"/>
            </c:ext>
          </c:extLst>
        </c:ser>
        <c:ser>
          <c:idx val="4"/>
          <c:order val="4"/>
          <c:tx>
            <c:strRef>
              <c:f>Sheet1!$G$8:$G$9</c:f>
              <c:strCache>
                <c:ptCount val="2"/>
                <c:pt idx="1">
                  <c:v>Godišnji indeks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/>
            </c:strRef>
          </c:cat>
          <c:val>
            <c:numRef>
              <c:f>Sheet1!$G$10:$G$31</c:f>
              <c:numCache>
                <c:formatCode>0.00%</c:formatCode>
                <c:ptCount val="22"/>
                <c:pt idx="0" formatCode="General">
                  <c:v>0</c:v>
                </c:pt>
                <c:pt idx="1">
                  <c:v>1.8738489278124799</c:v>
                </c:pt>
                <c:pt idx="2">
                  <c:v>1.3768179814896431</c:v>
                </c:pt>
                <c:pt idx="3">
                  <c:v>1.9298383918013402</c:v>
                </c:pt>
                <c:pt idx="4">
                  <c:v>1.3339367295922766</c:v>
                </c:pt>
                <c:pt idx="5">
                  <c:v>1.6717686012369588</c:v>
                </c:pt>
                <c:pt idx="6">
                  <c:v>1.5362673186634066</c:v>
                </c:pt>
                <c:pt idx="7">
                  <c:v>1.6102019637582821</c:v>
                </c:pt>
                <c:pt idx="8">
                  <c:v>1.4946065280572323</c:v>
                </c:pt>
                <c:pt idx="9">
                  <c:v>1.5172699740409576</c:v>
                </c:pt>
                <c:pt idx="10">
                  <c:v>1.683212260647452</c:v>
                </c:pt>
                <c:pt idx="11">
                  <c:v>1.4753241321622752</c:v>
                </c:pt>
                <c:pt idx="12">
                  <c:v>2.0281270681667771</c:v>
                </c:pt>
                <c:pt idx="13">
                  <c:v>2.1146253838873545</c:v>
                </c:pt>
                <c:pt idx="14">
                  <c:v>1.8502994011976048</c:v>
                </c:pt>
                <c:pt idx="15">
                  <c:v>2.0249461820944661</c:v>
                </c:pt>
                <c:pt idx="16">
                  <c:v>1.417987444838088</c:v>
                </c:pt>
                <c:pt idx="17">
                  <c:v>1.6838927495106619</c:v>
                </c:pt>
                <c:pt idx="18">
                  <c:v>1.5432061978545888</c:v>
                </c:pt>
                <c:pt idx="19">
                  <c:v>1.7291382683002161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1-D08B-47B8-8342-B50D9D74CDE4}"/>
            </c:ext>
          </c:extLst>
        </c:ser>
        <c:ser>
          <c:idx val="6"/>
          <c:order val="6"/>
          <c:tx>
            <c:strRef>
              <c:f>Sheet1!$I$8:$I$9</c:f>
              <c:strCache>
                <c:ptCount val="2"/>
                <c:pt idx="1">
                  <c:v>Godišnji indeks</c:v>
                </c:pt>
              </c:strCache>
              <c:extLst xmlns:c15="http://schemas.microsoft.com/office/drawing/2012/chart"/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Sheet1!$I$10:$I$31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6-D08B-47B8-8342-B50D9D74CDE4}"/>
            </c:ext>
          </c:extLst>
        </c:ser>
        <c:ser>
          <c:idx val="7"/>
          <c:order val="7"/>
          <c:tx>
            <c:strRef>
              <c:f>Sheet1!$J$8:$J$9</c:f>
              <c:strCache>
                <c:ptCount val="2"/>
                <c:pt idx="1">
                  <c:v>Godišnji indeks</c:v>
                </c:pt>
              </c:strCache>
              <c:extLst xmlns:c15="http://schemas.microsoft.com/office/drawing/2012/chart"/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Sheet1!$B$10:$B$31</c:f>
              <c:strCache>
                <c:ptCount val="20"/>
                <c:pt idx="1">
                  <c:v>Betina, TZM</c:v>
                </c:pt>
                <c:pt idx="2">
                  <c:v>Bilice, TZO</c:v>
                </c:pt>
                <c:pt idx="3">
                  <c:v>Drniš, TZG</c:v>
                </c:pt>
                <c:pt idx="4">
                  <c:v>Grebaštica, TZM</c:v>
                </c:pt>
                <c:pt idx="5">
                  <c:v>Jezera, TZM</c:v>
                </c:pt>
                <c:pt idx="6">
                  <c:v>Knin, TZG</c:v>
                </c:pt>
                <c:pt idx="7">
                  <c:v>Krapanj-Brodarica, TZM</c:v>
                </c:pt>
                <c:pt idx="8">
                  <c:v>Murter-Kornati, TZO</c:v>
                </c:pt>
                <c:pt idx="9">
                  <c:v>Pirovac, TZO</c:v>
                </c:pt>
                <c:pt idx="10">
                  <c:v>Primošten, TZO</c:v>
                </c:pt>
                <c:pt idx="11">
                  <c:v>Rogoznica, TZO</c:v>
                </c:pt>
                <c:pt idx="12">
                  <c:v>Skradin, TZG</c:v>
                </c:pt>
                <c:pt idx="13">
                  <c:v>Šibenik, TZG</c:v>
                </c:pt>
                <c:pt idx="14">
                  <c:v>Šibensko-kninska županija, TZŽ</c:v>
                </c:pt>
                <c:pt idx="15">
                  <c:v>Tisno, TZO</c:v>
                </c:pt>
                <c:pt idx="16">
                  <c:v>Tribunj, TZO</c:v>
                </c:pt>
                <c:pt idx="17">
                  <c:v>Vodice, TZG</c:v>
                </c:pt>
                <c:pt idx="18">
                  <c:v>Zlarin, TZM</c:v>
                </c:pt>
                <c:pt idx="19">
                  <c:v>Ukupno:</c:v>
                </c:pt>
              </c:strCache>
              <c:extLst xmlns:c15="http://schemas.microsoft.com/office/drawing/2012/chart"/>
            </c:strRef>
          </c:cat>
          <c:val>
            <c:numRef>
              <c:f>Sheet1!$J$10:$J$31</c:f>
              <c:numCache>
                <c:formatCode>General</c:formatCode>
                <c:ptCount val="22"/>
              </c:numCache>
              <c:extLst xmlns:c15="http://schemas.microsoft.com/office/drawing/2012/chart"/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7-D08B-47B8-8342-B50D9D74C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384448904"/>
        <c:axId val="384444592"/>
        <c:extLst>
          <c:ext xmlns:c15="http://schemas.microsoft.com/office/drawing/2012/chart" uri="{02D57815-91ED-43cb-92C2-25804820EDAC}">
            <c15:filteredBarSeries>
              <c15:ser>
                <c:idx val="5"/>
                <c:order val="5"/>
                <c:tx>
                  <c:strRef>
                    <c:extLst>
                      <c:ext uri="{02D57815-91ED-43cb-92C2-25804820EDAC}">
                        <c15:formulaRef>
                          <c15:sqref>Sheet1!$H$8:$H$9</c15:sqref>
                        </c15:formulaRef>
                      </c:ext>
                    </c:extLst>
                    <c:strCache>
                      <c:ptCount val="2"/>
                      <c:pt idx="1">
                        <c:v>Godišnji indeks</c:v>
                      </c:pt>
                    </c:strCache>
                  </c:strRef>
                </c:tx>
                <c:spPr>
                  <a:solidFill>
                    <a:schemeClr val="accent6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1">
                        <c:v>Betina, TZM</c:v>
                      </c:pt>
                      <c:pt idx="2">
                        <c:v>Bilice, TZO</c:v>
                      </c:pt>
                      <c:pt idx="3">
                        <c:v>Drniš, TZG</c:v>
                      </c:pt>
                      <c:pt idx="4">
                        <c:v>Grebaštica, TZM</c:v>
                      </c:pt>
                      <c:pt idx="5">
                        <c:v>Jezera, TZM</c:v>
                      </c:pt>
                      <c:pt idx="6">
                        <c:v>Knin, TZG</c:v>
                      </c:pt>
                      <c:pt idx="7">
                        <c:v>Krapanj-Brodarica, TZM</c:v>
                      </c:pt>
                      <c:pt idx="8">
                        <c:v>Murter-Kornati, TZO</c:v>
                      </c:pt>
                      <c:pt idx="9">
                        <c:v>Pirovac, TZO</c:v>
                      </c:pt>
                      <c:pt idx="10">
                        <c:v>Primošten, TZO</c:v>
                      </c:pt>
                      <c:pt idx="11">
                        <c:v>Rogoznica, TZO</c:v>
                      </c:pt>
                      <c:pt idx="12">
                        <c:v>Skradin, TZG</c:v>
                      </c:pt>
                      <c:pt idx="13">
                        <c:v>Šibenik, TZG</c:v>
                      </c:pt>
                      <c:pt idx="14">
                        <c:v>Šibensko-kninska županija, TZŽ</c:v>
                      </c:pt>
                      <c:pt idx="15">
                        <c:v>Tisno, TZO</c:v>
                      </c:pt>
                      <c:pt idx="16">
                        <c:v>Tribunj, TZO</c:v>
                      </c:pt>
                      <c:pt idx="17">
                        <c:v>Vodice, TZG</c:v>
                      </c:pt>
                      <c:pt idx="18">
                        <c:v>Zlarin, TZM</c:v>
                      </c:pt>
                      <c:pt idx="19">
                        <c:v>Ukupno: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Sheet1!$H$10:$H$31</c15:sqref>
                        </c15:formulaRef>
                      </c:ext>
                    </c:extLst>
                    <c:numCache>
                      <c:formatCode>0.00%</c:formatCode>
                      <c:ptCount val="22"/>
                      <c:pt idx="0" formatCode="General">
                        <c:v>0</c:v>
                      </c:pt>
                      <c:pt idx="1">
                        <c:v>1.5449020613391335</c:v>
                      </c:pt>
                      <c:pt idx="2">
                        <c:v>1.227563025210084</c:v>
                      </c:pt>
                      <c:pt idx="3">
                        <c:v>1.6419801980198019</c:v>
                      </c:pt>
                      <c:pt idx="4">
                        <c:v>1.2817068948681303</c:v>
                      </c:pt>
                      <c:pt idx="5">
                        <c:v>1.5719630680103795</c:v>
                      </c:pt>
                      <c:pt idx="6">
                        <c:v>0.93772563176895307</c:v>
                      </c:pt>
                      <c:pt idx="7">
                        <c:v>1.4893215220822347</c:v>
                      </c:pt>
                      <c:pt idx="8">
                        <c:v>1.3326308551345638</c:v>
                      </c:pt>
                      <c:pt idx="9">
                        <c:v>1.200781191098945</c:v>
                      </c:pt>
                      <c:pt idx="10">
                        <c:v>1.5308115849334687</c:v>
                      </c:pt>
                      <c:pt idx="11">
                        <c:v>1.303457929037189</c:v>
                      </c:pt>
                      <c:pt idx="12">
                        <c:v>2.1356981355869378</c:v>
                      </c:pt>
                      <c:pt idx="13">
                        <c:v>1.8231360011175739</c:v>
                      </c:pt>
                      <c:pt idx="14">
                        <c:v>1.7423704755145493</c:v>
                      </c:pt>
                      <c:pt idx="15">
                        <c:v>1.5901152766978803</c:v>
                      </c:pt>
                      <c:pt idx="16">
                        <c:v>1.2329234899900914</c:v>
                      </c:pt>
                      <c:pt idx="17">
                        <c:v>1.4594810390046256</c:v>
                      </c:pt>
                      <c:pt idx="18">
                        <c:v>1.0147349338787273</c:v>
                      </c:pt>
                      <c:pt idx="19">
                        <c:v>1.4662299259127063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5-D08B-47B8-8342-B50D9D74CDE4}"/>
                  </c:ext>
                </c:extLst>
              </c15:ser>
            </c15:filteredBarSeries>
            <c15:filteredBarSeries>
              <c15:ser>
                <c:idx val="8"/>
                <c:order val="8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Sheet1!$K$8:$K$9</c15:sqref>
                        </c15:formulaRef>
                      </c:ext>
                    </c:extLst>
                    <c:strCache>
                      <c:ptCount val="2"/>
                      <c:pt idx="1">
                        <c:v>Godišnji indeks</c:v>
                      </c:pt>
                    </c:strCache>
                  </c:strRef>
                </c:tx>
                <c:spPr>
                  <a:solidFill>
                    <a:schemeClr val="accent3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Sheet1!$B$10:$B$31</c15:sqref>
                        </c15:formulaRef>
                      </c:ext>
                    </c:extLst>
                    <c:strCache>
                      <c:ptCount val="20"/>
                      <c:pt idx="1">
                        <c:v>Betina, TZM</c:v>
                      </c:pt>
                      <c:pt idx="2">
                        <c:v>Bilice, TZO</c:v>
                      </c:pt>
                      <c:pt idx="3">
                        <c:v>Drniš, TZG</c:v>
                      </c:pt>
                      <c:pt idx="4">
                        <c:v>Grebaštica, TZM</c:v>
                      </c:pt>
                      <c:pt idx="5">
                        <c:v>Jezera, TZM</c:v>
                      </c:pt>
                      <c:pt idx="6">
                        <c:v>Knin, TZG</c:v>
                      </c:pt>
                      <c:pt idx="7">
                        <c:v>Krapanj-Brodarica, TZM</c:v>
                      </c:pt>
                      <c:pt idx="8">
                        <c:v>Murter-Kornati, TZO</c:v>
                      </c:pt>
                      <c:pt idx="9">
                        <c:v>Pirovac, TZO</c:v>
                      </c:pt>
                      <c:pt idx="10">
                        <c:v>Primošten, TZO</c:v>
                      </c:pt>
                      <c:pt idx="11">
                        <c:v>Rogoznica, TZO</c:v>
                      </c:pt>
                      <c:pt idx="12">
                        <c:v>Skradin, TZG</c:v>
                      </c:pt>
                      <c:pt idx="13">
                        <c:v>Šibenik, TZG</c:v>
                      </c:pt>
                      <c:pt idx="14">
                        <c:v>Šibensko-kninska županija, TZŽ</c:v>
                      </c:pt>
                      <c:pt idx="15">
                        <c:v>Tisno, TZO</c:v>
                      </c:pt>
                      <c:pt idx="16">
                        <c:v>Tribunj, TZO</c:v>
                      </c:pt>
                      <c:pt idx="17">
                        <c:v>Vodice, TZG</c:v>
                      </c:pt>
                      <c:pt idx="18">
                        <c:v>Zlarin, TZM</c:v>
                      </c:pt>
                      <c:pt idx="19">
                        <c:v>Ukupno: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Sheet1!$K$10:$K$31</c15:sqref>
                        </c15:formulaRef>
                      </c:ext>
                    </c:extLst>
                    <c:numCache>
                      <c:formatCode>General</c:formatCode>
                      <c:ptCount val="22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D08B-47B8-8342-B50D9D74CDE4}"/>
                  </c:ext>
                </c:extLst>
              </c15:ser>
            </c15:filteredBarSeries>
          </c:ext>
        </c:extLst>
      </c:barChart>
      <c:catAx>
        <c:axId val="384448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84444592"/>
        <c:crosses val="autoZero"/>
        <c:auto val="1"/>
        <c:lblAlgn val="ctr"/>
        <c:lblOffset val="100"/>
        <c:noMultiLvlLbl val="0"/>
      </c:catAx>
      <c:valAx>
        <c:axId val="3844445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tri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crossAx val="384448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Trend kretanja dolazaka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Sheet1!$C$5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Sheet1!$D$5:$N$5</c:f>
              <c:numCache>
                <c:formatCode>#,##0\ _k_n</c:formatCode>
                <c:ptCount val="11"/>
                <c:pt idx="0">
                  <c:v>97966</c:v>
                </c:pt>
                <c:pt idx="1">
                  <c:v>91830</c:v>
                </c:pt>
                <c:pt idx="2">
                  <c:v>98299</c:v>
                </c:pt>
                <c:pt idx="3">
                  <c:v>91255</c:v>
                </c:pt>
                <c:pt idx="4">
                  <c:v>103635</c:v>
                </c:pt>
                <c:pt idx="5">
                  <c:v>128929</c:v>
                </c:pt>
                <c:pt idx="6">
                  <c:v>146068</c:v>
                </c:pt>
                <c:pt idx="7" formatCode="#,##0">
                  <c:v>161889</c:v>
                </c:pt>
                <c:pt idx="8">
                  <c:v>185445</c:v>
                </c:pt>
                <c:pt idx="9" formatCode="#,##0">
                  <c:v>116900</c:v>
                </c:pt>
                <c:pt idx="10" formatCode="#,##0">
                  <c:v>162330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1D-47FD-9FF6-EFCE61A11EE3}"/>
            </c:ext>
          </c:extLst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Sheet1!$D$6:$N$6</c:f>
              <c:numCache>
                <c:formatCode>#,##0\ _k_n</c:formatCode>
                <c:ptCount val="11"/>
                <c:pt idx="0">
                  <c:v>534961</c:v>
                </c:pt>
                <c:pt idx="1">
                  <c:v>571511</c:v>
                </c:pt>
                <c:pt idx="2">
                  <c:v>614326</c:v>
                </c:pt>
                <c:pt idx="3">
                  <c:v>634420</c:v>
                </c:pt>
                <c:pt idx="4">
                  <c:v>671574</c:v>
                </c:pt>
                <c:pt idx="5">
                  <c:v>721831</c:v>
                </c:pt>
                <c:pt idx="6">
                  <c:v>819718</c:v>
                </c:pt>
                <c:pt idx="7" formatCode="#,##0">
                  <c:v>927733</c:v>
                </c:pt>
                <c:pt idx="8">
                  <c:v>960952</c:v>
                </c:pt>
                <c:pt idx="9" formatCode="#,##0">
                  <c:v>368649</c:v>
                </c:pt>
                <c:pt idx="10">
                  <c:v>677426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B1D-47FD-9FF6-EFCE61A11EE3}"/>
            </c:ext>
          </c:extLst>
        </c:ser>
        <c:ser>
          <c:idx val="2"/>
          <c:order val="2"/>
          <c:tx>
            <c:strRef>
              <c:f>Sheet1!$C$7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numRef>
              <c:f>Sheet1!$D$4:$N$4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Sheet1!$D$7:$N$7</c:f>
              <c:numCache>
                <c:formatCode>#,##0\ _k_n</c:formatCode>
                <c:ptCount val="11"/>
                <c:pt idx="0">
                  <c:v>632927</c:v>
                </c:pt>
                <c:pt idx="1">
                  <c:v>663341</c:v>
                </c:pt>
                <c:pt idx="2">
                  <c:v>712625</c:v>
                </c:pt>
                <c:pt idx="3">
                  <c:v>725675</c:v>
                </c:pt>
                <c:pt idx="4">
                  <c:v>775209</c:v>
                </c:pt>
                <c:pt idx="5">
                  <c:v>850760</c:v>
                </c:pt>
                <c:pt idx="6">
                  <c:v>965786</c:v>
                </c:pt>
                <c:pt idx="7" formatCode="#,##0">
                  <c:v>1089622</c:v>
                </c:pt>
                <c:pt idx="8">
                  <c:v>1146397</c:v>
                </c:pt>
                <c:pt idx="9" formatCode="#,##0">
                  <c:v>485549</c:v>
                </c:pt>
                <c:pt idx="10">
                  <c:v>839756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1D-47FD-9FF6-EFCE61A11E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96839840"/>
        <c:axId val="304225696"/>
      </c:barChart>
      <c:catAx>
        <c:axId val="19683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04225696"/>
        <c:crosses val="autoZero"/>
        <c:auto val="1"/>
        <c:lblAlgn val="ctr"/>
        <c:lblOffset val="100"/>
        <c:noMultiLvlLbl val="0"/>
      </c:catAx>
      <c:valAx>
        <c:axId val="304225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968398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Trend kretanja broja noćenja za dvanaest mjeseci, po godinama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accent5">
                  <a:lumMod val="50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Sheet1!$E$8</c:f>
              <c:strCache>
                <c:ptCount val="1"/>
                <c:pt idx="0">
                  <c:v>Domaći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Sheet1!$F$7:$P$7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Sheet1!$F$8:$P$8</c:f>
              <c:numCache>
                <c:formatCode>#,##0\ _k_n</c:formatCode>
                <c:ptCount val="11"/>
                <c:pt idx="0">
                  <c:v>709850</c:v>
                </c:pt>
                <c:pt idx="1">
                  <c:v>646627</c:v>
                </c:pt>
                <c:pt idx="2">
                  <c:v>659959</c:v>
                </c:pt>
                <c:pt idx="3">
                  <c:v>631273</c:v>
                </c:pt>
                <c:pt idx="4">
                  <c:v>716258</c:v>
                </c:pt>
                <c:pt idx="5">
                  <c:v>1262640</c:v>
                </c:pt>
                <c:pt idx="6">
                  <c:v>1349501</c:v>
                </c:pt>
                <c:pt idx="7" formatCode="#,##0">
                  <c:v>1372385</c:v>
                </c:pt>
                <c:pt idx="8">
                  <c:v>1506647</c:v>
                </c:pt>
                <c:pt idx="9" formatCode="#,##0">
                  <c:v>1187020</c:v>
                </c:pt>
                <c:pt idx="10" formatCode="#,##0">
                  <c:v>1221258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0A-4602-919F-D5D7881EE586}"/>
            </c:ext>
          </c:extLst>
        </c:ser>
        <c:ser>
          <c:idx val="1"/>
          <c:order val="1"/>
          <c:tx>
            <c:strRef>
              <c:f>Sheet1!$E$9</c:f>
              <c:strCache>
                <c:ptCount val="1"/>
                <c:pt idx="0">
                  <c:v>Strani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Sheet1!$F$7:$P$7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Sheet1!$F$9:$P$9</c:f>
              <c:numCache>
                <c:formatCode>#,##0\ _k_n</c:formatCode>
                <c:ptCount val="11"/>
                <c:pt idx="0">
                  <c:v>3517803</c:v>
                </c:pt>
                <c:pt idx="1">
                  <c:v>3842509</c:v>
                </c:pt>
                <c:pt idx="2">
                  <c:v>4156078</c:v>
                </c:pt>
                <c:pt idx="3">
                  <c:v>4180788</c:v>
                </c:pt>
                <c:pt idx="4">
                  <c:v>4431990</c:v>
                </c:pt>
                <c:pt idx="5">
                  <c:v>4800664</c:v>
                </c:pt>
                <c:pt idx="6">
                  <c:v>5244453</c:v>
                </c:pt>
                <c:pt idx="7" formatCode="#,##0">
                  <c:v>5784732</c:v>
                </c:pt>
                <c:pt idx="8">
                  <c:v>5836833</c:v>
                </c:pt>
                <c:pt idx="9" formatCode="#,##0">
                  <c:v>2846288</c:v>
                </c:pt>
                <c:pt idx="10" formatCode="#,##0">
                  <c:v>4697144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0A-4602-919F-D5D7881EE586}"/>
            </c:ext>
          </c:extLst>
        </c:ser>
        <c:ser>
          <c:idx val="2"/>
          <c:order val="2"/>
          <c:tx>
            <c:strRef>
              <c:f>Sheet1!$E$10</c:f>
              <c:strCache>
                <c:ptCount val="1"/>
                <c:pt idx="0">
                  <c:v>Ukupno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numRef>
              <c:f>Sheet1!$F$7:$P$7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>
                  <c:v>2021</c:v>
                </c:pt>
              </c:numCache>
            </c:numRef>
          </c:cat>
          <c:val>
            <c:numRef>
              <c:f>Sheet1!$F$10:$P$10</c:f>
              <c:numCache>
                <c:formatCode>#,##0\ _k_n</c:formatCode>
                <c:ptCount val="11"/>
                <c:pt idx="0">
                  <c:v>4227653</c:v>
                </c:pt>
                <c:pt idx="1">
                  <c:v>4489136</c:v>
                </c:pt>
                <c:pt idx="2">
                  <c:v>4816037</c:v>
                </c:pt>
                <c:pt idx="3">
                  <c:v>4812061</c:v>
                </c:pt>
                <c:pt idx="4">
                  <c:v>5148248</c:v>
                </c:pt>
                <c:pt idx="5">
                  <c:v>6063304</c:v>
                </c:pt>
                <c:pt idx="6">
                  <c:v>6593954</c:v>
                </c:pt>
                <c:pt idx="7" formatCode="#,##0">
                  <c:v>7157117</c:v>
                </c:pt>
                <c:pt idx="8">
                  <c:v>7343480</c:v>
                </c:pt>
                <c:pt idx="9">
                  <c:v>4033308</c:v>
                </c:pt>
                <c:pt idx="10" formatCode="#,##0">
                  <c:v>5915402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0A-4602-919F-D5D7881EE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283143656"/>
        <c:axId val="283627968"/>
      </c:barChart>
      <c:catAx>
        <c:axId val="283143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627968"/>
        <c:crosses val="autoZero"/>
        <c:auto val="1"/>
        <c:lblAlgn val="ctr"/>
        <c:lblOffset val="100"/>
        <c:noMultiLvlLbl val="0"/>
      </c:catAx>
      <c:valAx>
        <c:axId val="28362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 _k_n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831436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accent5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accent5">
              <a:lumMod val="50000"/>
            </a:schemeClr>
          </a:solidFill>
        </a:defRPr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Udio noćenja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E3-46DB-B1C3-1DEDEB253E7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E3-46DB-B1C3-1DEDEB253E7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E3-46DB-B1C3-1DEDEB253E7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E3-46DB-B1C3-1DEDEB253E7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E3-46DB-B1C3-1DEDEB253E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D2E3-46DB-B1C3-1DEDEB253E7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D2E3-46DB-B1C3-1DEDEB253E7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D2E3-46DB-B1C3-1DEDEB253E7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D2E3-46DB-B1C3-1DEDEB253E7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D2E3-46DB-B1C3-1DEDEB253E7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5-D2E3-46DB-B1C3-1DEDEB253E7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7-D2E3-46DB-B1C3-1DEDEB253E70}"/>
              </c:ext>
            </c:extLst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9-81A6-4DBF-93BB-7051E579A75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List1!$B$7:$B$19</c:f>
              <c:strCache>
                <c:ptCount val="13"/>
                <c:pt idx="0">
                  <c:v>Hrvatska</c:v>
                </c:pt>
                <c:pt idx="1">
                  <c:v>Njemačka </c:v>
                </c:pt>
                <c:pt idx="2">
                  <c:v>Poljska</c:v>
                </c:pt>
                <c:pt idx="3">
                  <c:v>Slovenija</c:v>
                </c:pt>
                <c:pt idx="4">
                  <c:v>Češka</c:v>
                </c:pt>
                <c:pt idx="5">
                  <c:v>Slovačka</c:v>
                </c:pt>
                <c:pt idx="6">
                  <c:v>Austrija</c:v>
                </c:pt>
                <c:pt idx="7">
                  <c:v>Mađarska</c:v>
                </c:pt>
                <c:pt idx="8">
                  <c:v>BIH</c:v>
                </c:pt>
                <c:pt idx="9">
                  <c:v>Nizozemska</c:v>
                </c:pt>
                <c:pt idx="10">
                  <c:v>Italija</c:v>
                </c:pt>
                <c:pt idx="11">
                  <c:v>Švicarska </c:v>
                </c:pt>
                <c:pt idx="12">
                  <c:v>ostali</c:v>
                </c:pt>
              </c:strCache>
            </c:strRef>
          </c:cat>
          <c:val>
            <c:numRef>
              <c:f>List1!$C$7:$C$19</c:f>
              <c:numCache>
                <c:formatCode>General</c:formatCode>
                <c:ptCount val="13"/>
                <c:pt idx="0">
                  <c:v>22.59</c:v>
                </c:pt>
                <c:pt idx="1">
                  <c:v>17.559999999999999</c:v>
                </c:pt>
                <c:pt idx="2">
                  <c:v>12.04</c:v>
                </c:pt>
                <c:pt idx="3">
                  <c:v>9.4499999999999993</c:v>
                </c:pt>
                <c:pt idx="4">
                  <c:v>8.43</c:v>
                </c:pt>
                <c:pt idx="5">
                  <c:v>5.27</c:v>
                </c:pt>
                <c:pt idx="6">
                  <c:v>5.61</c:v>
                </c:pt>
                <c:pt idx="7">
                  <c:v>3.85</c:v>
                </c:pt>
                <c:pt idx="8">
                  <c:v>2.09</c:v>
                </c:pt>
                <c:pt idx="9">
                  <c:v>1.93</c:v>
                </c:pt>
                <c:pt idx="10">
                  <c:v>1.22</c:v>
                </c:pt>
                <c:pt idx="1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D2E3-46DB-B1C3-1DEDEB253E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3"/>
          <c:order val="3"/>
          <c:tx>
            <c:strRef>
              <c:f>Sheet1!$F$36</c:f>
              <c:strCache>
                <c:ptCount val="1"/>
                <c:pt idx="0">
                  <c:v>Ukupno ležajeva (osnovni)</c:v>
                </c:pt>
              </c:strCache>
            </c:strRef>
          </c:tx>
          <c:spPr>
            <a:effectLst>
              <a:outerShdw blurRad="114300" sx="102000" sy="102000" algn="ctr" rotWithShape="0">
                <a:prstClr val="black">
                  <a:alpha val="9000"/>
                </a:prstClr>
              </a:outerShdw>
            </a:effectLst>
            <a:scene3d>
              <a:camera prst="orthographicFront"/>
              <a:lightRig rig="threePt" dir="t"/>
            </a:scene3d>
          </c:spPr>
          <c:explosion val="2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1-12D9-4BF1-953E-818CFB2C062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3-12D9-4BF1-953E-818CFB2C062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5-12D9-4BF1-953E-818CFB2C0627}"/>
              </c:ext>
            </c:extLst>
          </c:dPt>
          <c:dPt>
            <c:idx val="3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7-12D9-4BF1-953E-818CFB2C062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/>
            </c:spPr>
            <c:extLst>
              <c:ext xmlns:c16="http://schemas.microsoft.com/office/drawing/2014/chart" uri="{C3380CC4-5D6E-409C-BE32-E72D297353CC}">
                <c16:uniqueId val="{00000009-12D9-4BF1-953E-818CFB2C062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C-12D9-4BF1-953E-818CFB2C062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D-12D9-4BF1-953E-818CFB2C062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2E-12D9-4BF1-953E-818CFB2C0627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114300" sx="102000" sy="102000" algn="ctr" rotWithShape="0">
                  <a:prstClr val="black">
                    <a:alpha val="9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40-B744-455D-824D-C9474962BBC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12D9-4BF1-953E-818CFB2C0627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12D9-4BF1-953E-818CFB2C0627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12D9-4BF1-953E-818CFB2C0627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12D9-4BF1-953E-818CFB2C0627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9-12D9-4BF1-953E-818CFB2C0627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C-12D9-4BF1-953E-818CFB2C0627}"/>
                </c:ext>
              </c:extLst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D-12D9-4BF1-953E-818CFB2C0627}"/>
                </c:ext>
              </c:extLst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E-12D9-4BF1-953E-818CFB2C0627}"/>
                </c:ext>
              </c:extLst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sr-Latn-RS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40-B744-455D-824D-C9474962BBC4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Sheet1!$B$37:$B$45</c:f>
              <c:strCache>
                <c:ptCount val="9"/>
                <c:pt idx="0">
                  <c:v>Hoteli</c:v>
                </c:pt>
                <c:pt idx="1">
                  <c:v>Kampovi</c:v>
                </c:pt>
                <c:pt idx="2">
                  <c:v>Nekomercijalni smještaj</c:v>
                </c:pt>
                <c:pt idx="3">
                  <c:v>Objekti na OPG-u </c:v>
                </c:pt>
                <c:pt idx="4">
                  <c:v>Objekti u domaćinstvu</c:v>
                </c:pt>
                <c:pt idx="5">
                  <c:v>Ostali ugostiteljski objekti za smještaj </c:v>
                </c:pt>
                <c:pt idx="6">
                  <c:v>Ostalo</c:v>
                </c:pt>
                <c:pt idx="7">
                  <c:v>Restorani</c:v>
                </c:pt>
                <c:pt idx="8">
                  <c:v>Ukupno</c:v>
                </c:pt>
              </c:strCache>
              <c:extLst/>
            </c:strRef>
          </c:cat>
          <c:val>
            <c:numRef>
              <c:f>Sheet1!$F$37:$F$45</c:f>
              <c:numCache>
                <c:formatCode>#,##0</c:formatCode>
                <c:ptCount val="9"/>
                <c:pt idx="0">
                  <c:v>9386</c:v>
                </c:pt>
                <c:pt idx="1">
                  <c:v>16149</c:v>
                </c:pt>
                <c:pt idx="2">
                  <c:v>43991</c:v>
                </c:pt>
                <c:pt idx="3" formatCode="General">
                  <c:v>185</c:v>
                </c:pt>
                <c:pt idx="4">
                  <c:v>50400</c:v>
                </c:pt>
                <c:pt idx="5">
                  <c:v>7301</c:v>
                </c:pt>
                <c:pt idx="6" formatCode="General">
                  <c:v>282</c:v>
                </c:pt>
                <c:pt idx="7" formatCode="General">
                  <c:v>25</c:v>
                </c:pt>
                <c:pt idx="8">
                  <c:v>127719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A-12D9-4BF1-953E-818CFB2C0627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Sheet1!$C$36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0C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0E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0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2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14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0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1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32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>
                    <c:ext xmlns:c16="http://schemas.microsoft.com/office/drawing/2014/chart" uri="{C3380CC4-5D6E-409C-BE32-E72D297353CC}">
                      <c16:uniqueId val="{00000041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C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0E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0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2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14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0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1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32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>
                      <c:ext xmlns:c16="http://schemas.microsoft.com/office/drawing/2014/chart" uri="{C3380CC4-5D6E-409C-BE32-E72D297353CC}">
                        <c16:uniqueId val="{00000041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Sheet1!$C$37:$C$45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15-12D9-4BF1-953E-818CFB2C0627}"/>
                  </c:ext>
                </c:extLst>
              </c15:ser>
            </c15:filteredPieSeries>
            <c15:filteredPieSeries>
              <c15:ser>
                <c:idx val="1"/>
                <c:order val="1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Sheet1!$D$36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7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9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B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D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1F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4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5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6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2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7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9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B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D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1F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4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5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6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2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Sheet1!$D$37:$D$45</c15:sqref>
                        </c15:formulaRef>
                      </c:ext>
                    </c:extLst>
                    <c:numCache>
                      <c:formatCode>General</c:formatCode>
                      <c:ptCount val="9"/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0-12D9-4BF1-953E-818CFB2C0627}"/>
                  </c:ext>
                </c:extLst>
              </c15:ser>
            </c15:filteredPieSeries>
            <c15:filteredPieSeries>
              <c15:ser>
                <c:idx val="2"/>
                <c:order val="2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Sheet1!$E$36</c15:sqref>
                        </c15:formulaRef>
                      </c:ext>
                    </c:extLst>
                    <c:strCache>
                      <c:ptCount val="1"/>
                      <c:pt idx="0">
                        <c:v>Ukupno objekata</c:v>
                      </c:pt>
                    </c:strCache>
                  </c:strRef>
                </c:tx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2-12D9-4BF1-953E-818CFB2C0627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4-12D9-4BF1-953E-818CFB2C0627}"/>
                    </c:ext>
                  </c:extLst>
                </c:dPt>
                <c:dPt>
                  <c:idx val="2"/>
                  <c:bubble3D val="0"/>
                  <c:spPr>
                    <a:solidFill>
                      <a:schemeClr val="accent3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6-12D9-4BF1-953E-818CFB2C0627}"/>
                    </c:ext>
                  </c:extLst>
                </c:dPt>
                <c:dPt>
                  <c:idx val="3"/>
                  <c:bubble3D val="0"/>
                  <c:spPr>
                    <a:solidFill>
                      <a:schemeClr val="accent4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8-12D9-4BF1-953E-818CFB2C0627}"/>
                    </c:ext>
                  </c:extLst>
                </c:dPt>
                <c:dPt>
                  <c:idx val="4"/>
                  <c:bubble3D val="0"/>
                  <c:spPr>
                    <a:solidFill>
                      <a:schemeClr val="accent5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2A-12D9-4BF1-953E-818CFB2C0627}"/>
                    </c:ext>
                  </c:extLst>
                </c:dPt>
                <c:dPt>
                  <c:idx val="5"/>
                  <c:bubble3D val="0"/>
                  <c:spPr>
                    <a:solidFill>
                      <a:schemeClr val="accent6"/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8-12D9-4BF1-953E-818CFB2C0627}"/>
                    </c:ext>
                  </c:extLst>
                </c:dPt>
                <c:dPt>
                  <c:idx val="6"/>
                  <c:bubble3D val="0"/>
                  <c:spPr>
                    <a:solidFill>
                      <a:schemeClr val="accent1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9-12D9-4BF1-953E-818CFB2C0627}"/>
                    </c:ext>
                  </c:extLst>
                </c:dPt>
                <c:dPt>
                  <c:idx val="7"/>
                  <c:bubble3D val="0"/>
                  <c:spPr>
                    <a:solidFill>
                      <a:schemeClr val="accent2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3A-12D9-4BF1-953E-818CFB2C0627}"/>
                    </c:ext>
                  </c:extLst>
                </c:dPt>
                <c:dPt>
                  <c:idx val="8"/>
                  <c:bubble3D val="0"/>
                  <c:spPr>
                    <a:solidFill>
                      <a:schemeClr val="accent3">
                        <a:lumMod val="60000"/>
                      </a:schemeClr>
                    </a:solidFill>
                    <a:ln>
                      <a:noFill/>
                    </a:ln>
                    <a:effectLst>
                      <a:outerShdw blurRad="88900" sx="102000" sy="102000" algn="ctr" rotWithShape="0">
                        <a:prstClr val="black">
                          <a:alpha val="1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27000" h="127000"/>
                      <a:bevelB w="127000" h="127000"/>
                    </a:sp3d>
                  </c:spPr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43-B744-455D-824D-C9474962BBC4}"/>
                    </c:ext>
                  </c:extLst>
                </c:dPt>
                <c:dLbls>
                  <c:dLbl>
                    <c:idx val="0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2-12D9-4BF1-953E-818CFB2C0627}"/>
                      </c:ext>
                    </c:extLst>
                  </c:dLbl>
                  <c:dLbl>
                    <c:idx val="1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4-12D9-4BF1-953E-818CFB2C0627}"/>
                      </c:ext>
                    </c:extLst>
                  </c:dLbl>
                  <c:dLbl>
                    <c:idx val="2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6-12D9-4BF1-953E-818CFB2C0627}"/>
                      </c:ext>
                    </c:extLst>
                  </c:dLbl>
                  <c:dLbl>
                    <c:idx val="3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5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8-12D9-4BF1-953E-818CFB2C0627}"/>
                      </c:ext>
                    </c:extLst>
                  </c:dLbl>
                  <c:dLbl>
                    <c:idx val="4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2A-12D9-4BF1-953E-818CFB2C0627}"/>
                      </c:ext>
                    </c:extLst>
                  </c:dLbl>
                  <c:dLbl>
                    <c:idx val="5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6"/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8-12D9-4BF1-953E-818CFB2C0627}"/>
                      </c:ext>
                    </c:extLst>
                  </c:dLbl>
                  <c:dLbl>
                    <c:idx val="6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1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9-12D9-4BF1-953E-818CFB2C0627}"/>
                      </c:ext>
                    </c:extLst>
                  </c:dLbl>
                  <c:dLbl>
                    <c:idx val="7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2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3A-12D9-4BF1-953E-818CFB2C0627}"/>
                      </c:ext>
                    </c:extLst>
                  </c:dLbl>
                  <c:dLbl>
                    <c:idx val="8"/>
                    <c:spPr>
                      <a:noFill/>
                      <a:ln>
                        <a:noFill/>
                      </a:ln>
                      <a:effectLst/>
                    </c:spPr>
                    <c:txPr>
                      <a:bodyPr rot="0" spcFirstLastPara="1" vertOverflow="ellipsis" vert="horz" wrap="square" lIns="38100" tIns="19050" rIns="38100" bIns="19050" anchor="ctr" anchorCtr="1">
                        <a:spAutoFit/>
                      </a:bodyPr>
                      <a:lstStyle/>
                      <a:p>
                        <a:pPr>
                          <a:defRPr sz="1000" b="1" i="0" u="none" strike="noStrike" kern="1200" spc="0" baseline="0">
                            <a:solidFill>
                              <a:schemeClr val="accent3">
                                <a:lumMod val="60000"/>
                              </a:schemeClr>
                            </a:solidFill>
                            <a:latin typeface="+mn-lt"/>
                            <a:ea typeface="+mn-ea"/>
                            <a:cs typeface="+mn-cs"/>
                          </a:defRPr>
                        </a:pPr>
                        <a:endParaRPr lang="sr-Latn-RS"/>
                      </a:p>
                    </c:txPr>
                    <c:dLblPos val="outEnd"/>
                    <c:showLegendKey val="0"/>
                    <c:showVal val="0"/>
                    <c:showCatName val="1"/>
                    <c:showSerName val="0"/>
                    <c:showPercent val="0"/>
                    <c:showBubbleSize val="0"/>
                    <c:extLst xmlns:c15="http://schemas.microsoft.com/office/drawing/2012/chart">
                      <c:ext xmlns:c16="http://schemas.microsoft.com/office/drawing/2014/chart" uri="{C3380CC4-5D6E-409C-BE32-E72D297353CC}">
                        <c16:uniqueId val="{00000043-B744-455D-824D-C9474962BBC4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dLblPos val="outEnd"/>
                  <c:showLegendKey val="0"/>
                  <c:showVal val="0"/>
                  <c:showCatName val="1"/>
                  <c:showSerName val="0"/>
                  <c:showPercent val="0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5="http://schemas.microsoft.com/office/drawing/2012/chart">
                    <c:ext xmlns:c15="http://schemas.microsoft.com/office/drawing/2012/chart" uri="{CE6537A1-D6FC-4f65-9D91-7224C49458BB}"/>
                  </c:extLst>
                </c:dLbls>
                <c:cat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Sheet1!$B$37:$B$45</c15:sqref>
                        </c15:formulaRef>
                      </c:ext>
                    </c:extLst>
                    <c:strCache>
                      <c:ptCount val="9"/>
                      <c:pt idx="0">
                        <c:v>Hoteli</c:v>
                      </c:pt>
                      <c:pt idx="1">
                        <c:v>Kampovi</c:v>
                      </c:pt>
                      <c:pt idx="2">
                        <c:v>Nekomercijalni smještaj</c:v>
                      </c:pt>
                      <c:pt idx="3">
                        <c:v>Objekti na OPG-u </c:v>
                      </c:pt>
                      <c:pt idx="4">
                        <c:v>Objekti u domaćinstvu</c:v>
                      </c:pt>
                      <c:pt idx="5">
                        <c:v>Ostali ugostiteljski objekti za smještaj </c:v>
                      </c:pt>
                      <c:pt idx="6">
                        <c:v>Ostalo</c:v>
                      </c:pt>
                      <c:pt idx="7">
                        <c:v>Restorani</c:v>
                      </c:pt>
                      <c:pt idx="8">
                        <c:v>Ukupno</c:v>
                      </c:pt>
                    </c:strCache>
                  </c:str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Sheet1!$E$37:$E$45</c15:sqref>
                        </c15:formulaRef>
                      </c:ext>
                    </c:extLst>
                    <c:numCache>
                      <c:formatCode>General</c:formatCode>
                      <c:ptCount val="9"/>
                      <c:pt idx="0">
                        <c:v>62</c:v>
                      </c:pt>
                      <c:pt idx="1">
                        <c:v>119</c:v>
                      </c:pt>
                      <c:pt idx="2" formatCode="#,##0">
                        <c:v>10733</c:v>
                      </c:pt>
                      <c:pt idx="3">
                        <c:v>23</c:v>
                      </c:pt>
                      <c:pt idx="4" formatCode="#,##0">
                        <c:v>7977</c:v>
                      </c:pt>
                      <c:pt idx="5">
                        <c:v>557</c:v>
                      </c:pt>
                      <c:pt idx="6">
                        <c:v>4</c:v>
                      </c:pt>
                      <c:pt idx="7">
                        <c:v>2</c:v>
                      </c:pt>
                      <c:pt idx="8" formatCode="#,##0">
                        <c:v>19477</c:v>
                      </c:pt>
                    </c:numCache>
                  </c:numRef>
                </c:val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B-12D9-4BF1-953E-818CFB2C0627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E8C2-ABC6-4FB4-8AA9-EE3D36A1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8111</TotalTime>
  <Pages>6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dc:description/>
  <cp:lastModifiedBy>Katarina Aleksić</cp:lastModifiedBy>
  <cp:revision>57</cp:revision>
  <cp:lastPrinted>2021-02-04T10:55:00Z</cp:lastPrinted>
  <dcterms:created xsi:type="dcterms:W3CDTF">2017-11-24T09:12:00Z</dcterms:created>
  <dcterms:modified xsi:type="dcterms:W3CDTF">2022-02-17T07:56:00Z</dcterms:modified>
</cp:coreProperties>
</file>